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98" w:rsidRPr="00D03BC5" w:rsidRDefault="00E57598" w:rsidP="00E57598">
      <w:pPr>
        <w:rPr>
          <w:rFonts w:asciiTheme="minorHAnsi" w:hAnsiTheme="minorHAnsi"/>
          <w:sz w:val="22"/>
          <w:szCs w:val="22"/>
        </w:rPr>
      </w:pPr>
    </w:p>
    <w:tbl>
      <w:tblPr>
        <w:tblW w:w="11700" w:type="dxa"/>
        <w:tblInd w:w="-306" w:type="dxa"/>
        <w:tblBorders>
          <w:top w:val="single" w:sz="12" w:space="0" w:color="auto"/>
          <w:left w:val="single" w:sz="12" w:space="0" w:color="auto"/>
          <w:bottom w:val="single" w:sz="12" w:space="0" w:color="auto"/>
          <w:right w:val="single" w:sz="12" w:space="0" w:color="auto"/>
        </w:tblBorders>
        <w:tblLayout w:type="fixed"/>
        <w:tblCellMar>
          <w:top w:w="72" w:type="dxa"/>
          <w:left w:w="245" w:type="dxa"/>
          <w:bottom w:w="72" w:type="dxa"/>
          <w:right w:w="245" w:type="dxa"/>
        </w:tblCellMar>
        <w:tblLook w:val="04A0" w:firstRow="1" w:lastRow="0" w:firstColumn="1" w:lastColumn="0" w:noHBand="0" w:noVBand="1"/>
      </w:tblPr>
      <w:tblGrid>
        <w:gridCol w:w="11700"/>
      </w:tblGrid>
      <w:tr w:rsidR="00E57598" w:rsidRPr="00D03BC5" w:rsidTr="00762869">
        <w:trPr>
          <w:trHeight w:val="1538"/>
        </w:trPr>
        <w:tc>
          <w:tcPr>
            <w:tcW w:w="11700" w:type="dxa"/>
            <w:tcBorders>
              <w:top w:val="single" w:sz="4" w:space="0" w:color="004685"/>
              <w:left w:val="single" w:sz="4" w:space="0" w:color="004685"/>
              <w:bottom w:val="single" w:sz="4" w:space="0" w:color="004685"/>
              <w:right w:val="single" w:sz="4" w:space="0" w:color="004685"/>
            </w:tcBorders>
            <w:shd w:val="clear" w:color="auto" w:fill="1F497D"/>
            <w:tcMar>
              <w:top w:w="72" w:type="dxa"/>
              <w:left w:w="144" w:type="dxa"/>
              <w:bottom w:w="72" w:type="dxa"/>
              <w:right w:w="144" w:type="dxa"/>
            </w:tcMar>
            <w:vAlign w:val="center"/>
            <w:hideMark/>
          </w:tcPr>
          <w:p w:rsidR="00E57598" w:rsidRDefault="00E57598" w:rsidP="00762869">
            <w:pPr>
              <w:pStyle w:val="Vision"/>
              <w:tabs>
                <w:tab w:val="left" w:pos="1632"/>
              </w:tabs>
              <w:jc w:val="right"/>
              <w:rPr>
                <w:rFonts w:asciiTheme="minorHAnsi" w:hAnsiTheme="minorHAnsi" w:cs="Arial"/>
                <w:b/>
                <w:i w:val="0"/>
                <w:color w:val="FFFFFF"/>
              </w:rPr>
            </w:pP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p>
          <w:p w:rsidR="00E57598" w:rsidRPr="006E0049" w:rsidRDefault="00E57598" w:rsidP="00762869">
            <w:pPr>
              <w:pStyle w:val="Vision"/>
              <w:tabs>
                <w:tab w:val="left" w:pos="1632"/>
              </w:tabs>
              <w:rPr>
                <w:rFonts w:asciiTheme="minorHAnsi" w:hAnsiTheme="minorHAnsi" w:cs="Arial"/>
                <w:b/>
                <w:i w:val="0"/>
                <w:color w:val="FFFFFF"/>
              </w:rPr>
            </w:pPr>
            <w:r>
              <w:rPr>
                <w:rFonts w:asciiTheme="minorHAnsi" w:hAnsiTheme="minorHAnsi" w:cs="Arial"/>
                <w:b/>
                <w:i w:val="0"/>
                <w:noProof/>
                <w:color w:val="FFFFFF"/>
              </w:rPr>
              <w:drawing>
                <wp:inline distT="0" distB="0" distL="0" distR="0" wp14:anchorId="5319AC0C" wp14:editId="1AEA23ED">
                  <wp:extent cx="3198141"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Unit_Signature_ReverseCMYK_Medicine.png"/>
                          <pic:cNvPicPr/>
                        </pic:nvPicPr>
                        <pic:blipFill>
                          <a:blip r:embed="rId4">
                            <a:extLst>
                              <a:ext uri="{28A0092B-C50C-407E-A947-70E740481C1C}">
                                <a14:useLocalDpi xmlns:a14="http://schemas.microsoft.com/office/drawing/2010/main" val="0"/>
                              </a:ext>
                            </a:extLst>
                          </a:blip>
                          <a:stretch>
                            <a:fillRect/>
                          </a:stretch>
                        </pic:blipFill>
                        <pic:spPr>
                          <a:xfrm>
                            <a:off x="0" y="0"/>
                            <a:ext cx="3205013" cy="668183"/>
                          </a:xfrm>
                          <a:prstGeom prst="rect">
                            <a:avLst/>
                          </a:prstGeom>
                        </pic:spPr>
                      </pic:pic>
                    </a:graphicData>
                  </a:graphic>
                </wp:inline>
              </w:drawing>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sidRPr="00D03BC5">
              <w:rPr>
                <w:rFonts w:asciiTheme="minorHAnsi" w:hAnsiTheme="minorHAnsi" w:cs="Arial"/>
                <w:b/>
                <w:i w:val="0"/>
                <w:color w:val="FFFFFF"/>
              </w:rPr>
              <w:t>CAREER OPPORTUNITY</w:t>
            </w:r>
          </w:p>
        </w:tc>
      </w:tr>
      <w:tr w:rsidR="00E57598" w:rsidRPr="00D03BC5" w:rsidTr="00762869">
        <w:trPr>
          <w:trHeight w:val="287"/>
        </w:trPr>
        <w:tc>
          <w:tcPr>
            <w:tcW w:w="11700" w:type="dxa"/>
            <w:tcBorders>
              <w:top w:val="single" w:sz="4" w:space="0" w:color="004685"/>
              <w:left w:val="single" w:sz="4" w:space="0" w:color="004685"/>
              <w:bottom w:val="single" w:sz="4" w:space="0" w:color="004685"/>
              <w:right w:val="single" w:sz="4" w:space="0" w:color="004685"/>
            </w:tcBorders>
            <w:shd w:val="clear" w:color="auto" w:fill="4F81BD"/>
            <w:vAlign w:val="center"/>
            <w:hideMark/>
          </w:tcPr>
          <w:p w:rsidR="00E57598" w:rsidRPr="00D03BC5" w:rsidRDefault="00E57598" w:rsidP="000F4789">
            <w:pPr>
              <w:rPr>
                <w:rStyle w:val="Subtitlereversed"/>
                <w:rFonts w:asciiTheme="minorHAnsi" w:eastAsia="Calibri" w:hAnsiTheme="minorHAnsi"/>
                <w:b/>
                <w:sz w:val="22"/>
                <w:szCs w:val="22"/>
              </w:rPr>
            </w:pPr>
            <w:r>
              <w:rPr>
                <w:rStyle w:val="Subtitlereversed"/>
                <w:rFonts w:asciiTheme="minorHAnsi" w:eastAsia="Calibri" w:hAnsiTheme="minorHAnsi"/>
                <w:b/>
                <w:sz w:val="22"/>
                <w:szCs w:val="22"/>
              </w:rPr>
              <w:t xml:space="preserve">Department of Biochemistry  and Molecular Biology and </w:t>
            </w:r>
            <w:r w:rsidR="00021226">
              <w:rPr>
                <w:rStyle w:val="Subtitlereversed"/>
                <w:rFonts w:asciiTheme="minorHAnsi" w:eastAsia="Calibri" w:hAnsiTheme="minorHAnsi"/>
                <w:b/>
                <w:sz w:val="22"/>
                <w:szCs w:val="22"/>
              </w:rPr>
              <w:t>BC Children</w:t>
            </w:r>
            <w:r w:rsidR="008E503C">
              <w:rPr>
                <w:rStyle w:val="Subtitlereversed"/>
                <w:rFonts w:asciiTheme="minorHAnsi" w:eastAsia="Calibri" w:hAnsiTheme="minorHAnsi"/>
                <w:b/>
                <w:sz w:val="22"/>
                <w:szCs w:val="22"/>
              </w:rPr>
              <w:t>’s</w:t>
            </w:r>
            <w:r w:rsidR="00021226">
              <w:rPr>
                <w:rStyle w:val="Subtitlereversed"/>
                <w:rFonts w:asciiTheme="minorHAnsi" w:eastAsia="Calibri" w:hAnsiTheme="minorHAnsi"/>
                <w:b/>
                <w:sz w:val="22"/>
                <w:szCs w:val="22"/>
              </w:rPr>
              <w:t xml:space="preserve"> Hospital Research Institute</w:t>
            </w:r>
            <w:r>
              <w:rPr>
                <w:rStyle w:val="Subtitlereversed"/>
                <w:rFonts w:asciiTheme="minorHAnsi" w:eastAsia="Calibri" w:hAnsiTheme="minorHAnsi"/>
                <w:b/>
                <w:sz w:val="22"/>
                <w:szCs w:val="22"/>
              </w:rPr>
              <w:t xml:space="preserve">| Assistant Professor, Tenure Track </w:t>
            </w:r>
          </w:p>
        </w:tc>
      </w:tr>
      <w:tr w:rsidR="00E57598" w:rsidRPr="00D03BC5" w:rsidTr="00762869">
        <w:trPr>
          <w:trHeight w:val="188"/>
        </w:trPr>
        <w:tc>
          <w:tcPr>
            <w:tcW w:w="11700" w:type="dxa"/>
            <w:tcBorders>
              <w:top w:val="single" w:sz="4" w:space="0" w:color="004685"/>
              <w:left w:val="single" w:sz="4" w:space="0" w:color="004685"/>
              <w:bottom w:val="single" w:sz="4" w:space="0" w:color="004685"/>
              <w:right w:val="single" w:sz="4" w:space="0" w:color="004685"/>
            </w:tcBorders>
            <w:tcMar>
              <w:top w:w="72" w:type="dxa"/>
              <w:left w:w="288" w:type="dxa"/>
              <w:bottom w:w="72" w:type="dxa"/>
              <w:right w:w="288" w:type="dxa"/>
            </w:tcMar>
          </w:tcPr>
          <w:p w:rsidR="00E57598" w:rsidRDefault="00E57598" w:rsidP="00762869">
            <w:pPr>
              <w:pStyle w:val="Default"/>
            </w:pPr>
          </w:p>
          <w:tbl>
            <w:tblPr>
              <w:tblW w:w="11173" w:type="dxa"/>
              <w:tblBorders>
                <w:top w:val="nil"/>
                <w:left w:val="nil"/>
                <w:bottom w:val="nil"/>
                <w:right w:val="nil"/>
              </w:tblBorders>
              <w:tblLayout w:type="fixed"/>
              <w:tblLook w:val="0000" w:firstRow="0" w:lastRow="0" w:firstColumn="0" w:lastColumn="0" w:noHBand="0" w:noVBand="0"/>
            </w:tblPr>
            <w:tblGrid>
              <w:gridCol w:w="11173"/>
            </w:tblGrid>
            <w:tr w:rsidR="00E57598" w:rsidTr="00E57598">
              <w:trPr>
                <w:trHeight w:val="1008"/>
              </w:trPr>
              <w:tc>
                <w:tcPr>
                  <w:tcW w:w="11173" w:type="dxa"/>
                </w:tcPr>
                <w:p w:rsidR="00E57598" w:rsidRPr="00C54D63" w:rsidRDefault="00E57598" w:rsidP="00C54D63">
                  <w:pPr>
                    <w:jc w:val="both"/>
                    <w:rPr>
                      <w:rFonts w:asciiTheme="minorHAnsi" w:hAnsiTheme="minorHAnsi"/>
                      <w:sz w:val="22"/>
                    </w:rPr>
                  </w:pPr>
                  <w:r w:rsidRPr="00790B92">
                    <w:rPr>
                      <w:rFonts w:asciiTheme="minorHAnsi" w:hAnsiTheme="minorHAnsi"/>
                      <w:b/>
                      <w:sz w:val="22"/>
                      <w:szCs w:val="22"/>
                    </w:rPr>
                    <w:t xml:space="preserve">The </w:t>
                  </w:r>
                  <w:r w:rsidR="00A749BB" w:rsidRPr="00790B92">
                    <w:rPr>
                      <w:rFonts w:asciiTheme="minorHAnsi" w:hAnsiTheme="minorHAnsi"/>
                      <w:b/>
                      <w:sz w:val="22"/>
                      <w:szCs w:val="22"/>
                    </w:rPr>
                    <w:t>BC Children</w:t>
                  </w:r>
                  <w:r w:rsidR="008E503C">
                    <w:rPr>
                      <w:rFonts w:asciiTheme="minorHAnsi" w:hAnsiTheme="minorHAnsi"/>
                      <w:b/>
                      <w:sz w:val="22"/>
                      <w:szCs w:val="22"/>
                    </w:rPr>
                    <w:t>’s</w:t>
                  </w:r>
                  <w:r w:rsidR="00A749BB" w:rsidRPr="00790B92">
                    <w:rPr>
                      <w:rFonts w:asciiTheme="minorHAnsi" w:hAnsiTheme="minorHAnsi"/>
                      <w:b/>
                      <w:sz w:val="22"/>
                      <w:szCs w:val="22"/>
                    </w:rPr>
                    <w:t xml:space="preserve"> Hospital Research Institute</w:t>
                  </w:r>
                  <w:r w:rsidR="00021226" w:rsidRPr="00790B92">
                    <w:rPr>
                      <w:rFonts w:asciiTheme="minorHAnsi" w:hAnsiTheme="minorHAnsi"/>
                      <w:b/>
                      <w:sz w:val="22"/>
                      <w:szCs w:val="22"/>
                    </w:rPr>
                    <w:t xml:space="preserve"> </w:t>
                  </w:r>
                  <w:r w:rsidRPr="00790B92">
                    <w:rPr>
                      <w:rFonts w:asciiTheme="minorHAnsi" w:hAnsiTheme="minorHAnsi"/>
                      <w:b/>
                      <w:sz w:val="22"/>
                      <w:szCs w:val="22"/>
                    </w:rPr>
                    <w:t>(</w:t>
                  </w:r>
                  <w:r w:rsidR="00042F6A" w:rsidRPr="00790B92">
                    <w:rPr>
                      <w:rFonts w:asciiTheme="minorHAnsi" w:hAnsiTheme="minorHAnsi"/>
                      <w:b/>
                      <w:sz w:val="22"/>
                      <w:szCs w:val="22"/>
                    </w:rPr>
                    <w:t>BCC</w:t>
                  </w:r>
                  <w:r w:rsidR="009A2938" w:rsidRPr="00790B92">
                    <w:rPr>
                      <w:rFonts w:asciiTheme="minorHAnsi" w:hAnsiTheme="minorHAnsi"/>
                      <w:b/>
                      <w:sz w:val="22"/>
                      <w:szCs w:val="22"/>
                    </w:rPr>
                    <w:t>H</w:t>
                  </w:r>
                  <w:r w:rsidR="00042F6A" w:rsidRPr="00790B92">
                    <w:rPr>
                      <w:rFonts w:asciiTheme="minorHAnsi" w:hAnsiTheme="minorHAnsi"/>
                      <w:b/>
                      <w:sz w:val="22"/>
                      <w:szCs w:val="22"/>
                    </w:rPr>
                    <w:t>R</w:t>
                  </w:r>
                  <w:r w:rsidRPr="00790B92">
                    <w:rPr>
                      <w:rFonts w:asciiTheme="minorHAnsi" w:hAnsiTheme="minorHAnsi"/>
                      <w:b/>
                      <w:sz w:val="22"/>
                      <w:szCs w:val="22"/>
                    </w:rPr>
                    <w:t>)</w:t>
                  </w:r>
                  <w:r w:rsidRPr="00790B92">
                    <w:rPr>
                      <w:rFonts w:asciiTheme="minorHAnsi" w:hAnsiTheme="minorHAnsi"/>
                      <w:sz w:val="22"/>
                      <w:szCs w:val="22"/>
                    </w:rPr>
                    <w:t xml:space="preserve"> and the </w:t>
                  </w:r>
                  <w:r w:rsidRPr="00790B92">
                    <w:rPr>
                      <w:rFonts w:asciiTheme="minorHAnsi" w:hAnsiTheme="minorHAnsi"/>
                      <w:b/>
                      <w:sz w:val="22"/>
                      <w:szCs w:val="22"/>
                    </w:rPr>
                    <w:t>Department of Biochemistry and Molecular Biology (BMB)</w:t>
                  </w:r>
                  <w:r w:rsidRPr="00790B92">
                    <w:rPr>
                      <w:rFonts w:asciiTheme="minorHAnsi" w:hAnsiTheme="minorHAnsi"/>
                      <w:sz w:val="22"/>
                      <w:szCs w:val="22"/>
                    </w:rPr>
                    <w:t xml:space="preserve"> at the University of British Columbia</w:t>
                  </w:r>
                  <w:r w:rsidR="00036D38" w:rsidRPr="00774F48">
                    <w:rPr>
                      <w:rFonts w:asciiTheme="minorHAnsi" w:hAnsiTheme="minorHAnsi"/>
                      <w:sz w:val="22"/>
                      <w:szCs w:val="22"/>
                    </w:rPr>
                    <w:t xml:space="preserve"> (UBC) </w:t>
                  </w:r>
                  <w:r w:rsidR="00601C35" w:rsidRPr="00790B92">
                    <w:rPr>
                      <w:rFonts w:asciiTheme="minorHAnsi" w:hAnsiTheme="minorHAnsi"/>
                      <w:sz w:val="22"/>
                      <w:szCs w:val="22"/>
                    </w:rPr>
                    <w:t xml:space="preserve">seek to recruit an </w:t>
                  </w:r>
                  <w:r w:rsidR="00036D38" w:rsidRPr="00790B92">
                    <w:rPr>
                      <w:rFonts w:asciiTheme="minorHAnsi" w:hAnsiTheme="minorHAnsi"/>
                      <w:sz w:val="22"/>
                      <w:szCs w:val="22"/>
                    </w:rPr>
                    <w:t>outstanding</w:t>
                  </w:r>
                  <w:r w:rsidR="00227A8B">
                    <w:rPr>
                      <w:rFonts w:asciiTheme="minorHAnsi" w:hAnsiTheme="minorHAnsi"/>
                      <w:sz w:val="22"/>
                      <w:szCs w:val="22"/>
                    </w:rPr>
                    <w:t xml:space="preserve"> scientist</w:t>
                  </w:r>
                  <w:r w:rsidR="00601C35" w:rsidRPr="00790B92">
                    <w:rPr>
                      <w:rFonts w:asciiTheme="minorHAnsi" w:hAnsiTheme="minorHAnsi"/>
                      <w:sz w:val="22"/>
                      <w:szCs w:val="22"/>
                    </w:rPr>
                    <w:t xml:space="preserve"> </w:t>
                  </w:r>
                  <w:r w:rsidR="00CF6135">
                    <w:rPr>
                      <w:rFonts w:asciiTheme="minorHAnsi" w:hAnsiTheme="minorHAnsi"/>
                      <w:sz w:val="22"/>
                      <w:szCs w:val="22"/>
                    </w:rPr>
                    <w:t>for a full-</w:t>
                  </w:r>
                  <w:proofErr w:type="spellStart"/>
                  <w:r w:rsidR="00CF6135">
                    <w:rPr>
                      <w:rFonts w:asciiTheme="minorHAnsi" w:hAnsiTheme="minorHAnsi"/>
                      <w:sz w:val="22"/>
                      <w:szCs w:val="22"/>
                    </w:rPr>
                    <w:t>tiume</w:t>
                  </w:r>
                  <w:proofErr w:type="spellEnd"/>
                  <w:r w:rsidR="00CF6135">
                    <w:rPr>
                      <w:rFonts w:asciiTheme="minorHAnsi" w:hAnsiTheme="minorHAnsi"/>
                      <w:sz w:val="22"/>
                      <w:szCs w:val="22"/>
                    </w:rPr>
                    <w:t xml:space="preserve"> (1.0 FTE) position at the rank of </w:t>
                  </w:r>
                  <w:r w:rsidR="00F868A0" w:rsidRPr="00790B92">
                    <w:rPr>
                      <w:rFonts w:asciiTheme="minorHAnsi" w:hAnsiTheme="minorHAnsi"/>
                      <w:sz w:val="22"/>
                      <w:szCs w:val="22"/>
                    </w:rPr>
                    <w:t>Assistant Professor</w:t>
                  </w:r>
                  <w:r w:rsidR="0008260B">
                    <w:rPr>
                      <w:rFonts w:asciiTheme="minorHAnsi" w:hAnsiTheme="minorHAnsi"/>
                      <w:sz w:val="22"/>
                      <w:szCs w:val="22"/>
                    </w:rPr>
                    <w:t>,</w:t>
                  </w:r>
                  <w:r w:rsidR="00F868A0" w:rsidRPr="00790B92">
                    <w:rPr>
                      <w:rFonts w:asciiTheme="minorHAnsi" w:hAnsiTheme="minorHAnsi"/>
                      <w:sz w:val="22"/>
                      <w:szCs w:val="22"/>
                    </w:rPr>
                    <w:t xml:space="preserve"> </w:t>
                  </w:r>
                  <w:r w:rsidR="00CF6135">
                    <w:rPr>
                      <w:rFonts w:asciiTheme="minorHAnsi" w:hAnsiTheme="minorHAnsi"/>
                      <w:sz w:val="22"/>
                      <w:szCs w:val="22"/>
                    </w:rPr>
                    <w:t>tenure track.</w:t>
                  </w:r>
                </w:p>
                <w:p w:rsidR="002E64FC" w:rsidRDefault="002E64FC" w:rsidP="00C54D63">
                  <w:pPr>
                    <w:pStyle w:val="NormalWeb"/>
                    <w:jc w:val="both"/>
                  </w:pPr>
                  <w:r w:rsidRPr="003C565E">
                    <w:rPr>
                      <w:rFonts w:asciiTheme="minorHAnsi" w:hAnsiTheme="minorHAnsi"/>
                      <w:sz w:val="22"/>
                      <w:szCs w:val="22"/>
                    </w:rPr>
                    <w:t xml:space="preserve">BMB and BCCHR are </w:t>
                  </w:r>
                  <w:r w:rsidRPr="003C565E">
                    <w:rPr>
                      <w:rFonts w:ascii="Calibri" w:hAnsi="Calibri" w:cs="Calibri"/>
                      <w:sz w:val="22"/>
                      <w:szCs w:val="22"/>
                    </w:rPr>
                    <w:t>seeking applicants with expertise in the area of metabolomics</w:t>
                  </w:r>
                  <w:r w:rsidR="00977B29">
                    <w:rPr>
                      <w:rFonts w:ascii="Calibri" w:hAnsi="Calibri" w:cs="Calibri"/>
                      <w:sz w:val="22"/>
                      <w:szCs w:val="22"/>
                    </w:rPr>
                    <w:t xml:space="preserve"> with</w:t>
                  </w:r>
                  <w:r w:rsidRPr="003C565E">
                    <w:rPr>
                      <w:rFonts w:ascii="Calibri" w:hAnsi="Calibri" w:cs="Calibri"/>
                      <w:sz w:val="22"/>
                      <w:szCs w:val="22"/>
                    </w:rPr>
                    <w:t xml:space="preserve"> research </w:t>
                  </w:r>
                  <w:r w:rsidR="00977B29">
                    <w:rPr>
                      <w:rFonts w:ascii="Calibri" w:hAnsi="Calibri" w:cs="Calibri"/>
                      <w:sz w:val="22"/>
                      <w:szCs w:val="22"/>
                    </w:rPr>
                    <w:t>that will</w:t>
                  </w:r>
                  <w:r w:rsidRPr="003C565E">
                    <w:rPr>
                      <w:rFonts w:ascii="Calibri" w:hAnsi="Calibri" w:cs="Calibri"/>
                      <w:sz w:val="22"/>
                      <w:szCs w:val="22"/>
                    </w:rPr>
                    <w:t xml:space="preserve"> apply broad, discovery-based metabolomics techniques (mass spectrometry and/or</w:t>
                  </w:r>
                  <w:r w:rsidR="005B78FA">
                    <w:rPr>
                      <w:rFonts w:ascii="Calibri" w:hAnsi="Calibri" w:cs="Calibri"/>
                      <w:sz w:val="22"/>
                      <w:szCs w:val="22"/>
                    </w:rPr>
                    <w:t xml:space="preserve"> Nuclear Magnetic Resonance Spectroscopy </w:t>
                  </w:r>
                  <w:r w:rsidRPr="00B87096">
                    <w:rPr>
                      <w:rFonts w:ascii="Calibri" w:hAnsi="Calibri" w:cs="Calibri"/>
                      <w:sz w:val="22"/>
                      <w:szCs w:val="22"/>
                    </w:rPr>
                    <w:t xml:space="preserve">based) to clinical cohorts, and </w:t>
                  </w:r>
                  <w:r w:rsidR="005149F2" w:rsidRPr="00B87096">
                    <w:rPr>
                      <w:rFonts w:ascii="Calibri" w:hAnsi="Calibri" w:cs="Calibri"/>
                      <w:sz w:val="22"/>
                      <w:szCs w:val="22"/>
                    </w:rPr>
                    <w:t>include complimentary</w:t>
                  </w:r>
                  <w:r w:rsidRPr="00B87096">
                    <w:rPr>
                      <w:rFonts w:ascii="Calibri" w:hAnsi="Calibri" w:cs="Calibri"/>
                      <w:sz w:val="22"/>
                      <w:szCs w:val="22"/>
                    </w:rPr>
                    <w:t xml:space="preserve"> studies to understand molecular mechanisms. </w:t>
                  </w:r>
                  <w:r w:rsidR="00C50D2D" w:rsidRPr="00B87096">
                    <w:rPr>
                      <w:rFonts w:asciiTheme="minorHAnsi" w:hAnsiTheme="minorHAnsi"/>
                      <w:sz w:val="22"/>
                      <w:szCs w:val="22"/>
                    </w:rPr>
                    <w:t xml:space="preserve">The research program is expected to focus on the development and application of metabolomics methods to the study </w:t>
                  </w:r>
                  <w:r w:rsidR="005149F2" w:rsidRPr="00B87096">
                    <w:rPr>
                      <w:rFonts w:asciiTheme="minorHAnsi" w:hAnsiTheme="minorHAnsi"/>
                      <w:sz w:val="22"/>
                      <w:szCs w:val="22"/>
                    </w:rPr>
                    <w:t xml:space="preserve">of </w:t>
                  </w:r>
                  <w:r w:rsidR="001A0E39" w:rsidRPr="00B87096">
                    <w:rPr>
                      <w:rFonts w:asciiTheme="minorHAnsi" w:hAnsiTheme="minorHAnsi"/>
                      <w:sz w:val="22"/>
                      <w:szCs w:val="22"/>
                    </w:rPr>
                    <w:t xml:space="preserve">child health and/or development. Outstanding </w:t>
                  </w:r>
                  <w:r w:rsidR="001A0E39" w:rsidRPr="00B87096">
                    <w:rPr>
                      <w:rFonts w:ascii="Calibri" w:hAnsi="Calibri" w:cs="Calibri"/>
                      <w:sz w:val="22"/>
                      <w:szCs w:val="22"/>
                    </w:rPr>
                    <w:t xml:space="preserve">candidates with </w:t>
                  </w:r>
                  <w:r w:rsidR="00C50D2D" w:rsidRPr="00B87096">
                    <w:rPr>
                      <w:rFonts w:ascii="Calibri" w:hAnsi="Calibri" w:cs="Calibri"/>
                      <w:sz w:val="22"/>
                      <w:szCs w:val="22"/>
                    </w:rPr>
                    <w:t xml:space="preserve">past experience </w:t>
                  </w:r>
                  <w:r w:rsidR="001A0E39" w:rsidRPr="00B87096">
                    <w:rPr>
                      <w:rFonts w:ascii="Calibri" w:hAnsi="Calibri" w:cs="Calibri"/>
                      <w:sz w:val="22"/>
                      <w:szCs w:val="22"/>
                    </w:rPr>
                    <w:t>outside of</w:t>
                  </w:r>
                  <w:r w:rsidR="00C50D2D" w:rsidRPr="00B87096">
                    <w:rPr>
                      <w:rFonts w:ascii="Calibri" w:hAnsi="Calibri" w:cs="Calibri"/>
                      <w:sz w:val="22"/>
                      <w:szCs w:val="22"/>
                    </w:rPr>
                    <w:t xml:space="preserve"> child health</w:t>
                  </w:r>
                  <w:r w:rsidR="001A0E39" w:rsidRPr="00B87096">
                    <w:rPr>
                      <w:rFonts w:ascii="Calibri" w:hAnsi="Calibri" w:cs="Calibri"/>
                      <w:sz w:val="22"/>
                      <w:szCs w:val="22"/>
                    </w:rPr>
                    <w:t xml:space="preserve"> are encouraged to apply</w:t>
                  </w:r>
                  <w:r w:rsidR="00C50D2D" w:rsidRPr="00B87096">
                    <w:rPr>
                      <w:rFonts w:asciiTheme="minorHAnsi" w:hAnsiTheme="minorHAnsi"/>
                      <w:sz w:val="22"/>
                      <w:szCs w:val="22"/>
                    </w:rPr>
                    <w:t xml:space="preserve">. Disease areas are not pre-defined </w:t>
                  </w:r>
                  <w:r w:rsidR="001A0E39" w:rsidRPr="00B87096">
                    <w:rPr>
                      <w:rFonts w:asciiTheme="minorHAnsi" w:hAnsiTheme="minorHAnsi"/>
                      <w:sz w:val="22"/>
                      <w:szCs w:val="22"/>
                    </w:rPr>
                    <w:t>but should build on or complement existing strength</w:t>
                  </w:r>
                  <w:r w:rsidR="005149F2" w:rsidRPr="00B87096">
                    <w:rPr>
                      <w:rFonts w:asciiTheme="minorHAnsi" w:hAnsiTheme="minorHAnsi"/>
                      <w:sz w:val="22"/>
                      <w:szCs w:val="22"/>
                    </w:rPr>
                    <w:t>s at</w:t>
                  </w:r>
                  <w:r w:rsidR="001A0E39" w:rsidRPr="00B87096">
                    <w:rPr>
                      <w:rFonts w:asciiTheme="minorHAnsi" w:hAnsiTheme="minorHAnsi"/>
                      <w:sz w:val="22"/>
                      <w:szCs w:val="22"/>
                    </w:rPr>
                    <w:t xml:space="preserve"> BCCHR</w:t>
                  </w:r>
                  <w:r w:rsidR="00C50D2D" w:rsidRPr="00B87096">
                    <w:rPr>
                      <w:rFonts w:ascii="Calibri" w:hAnsi="Calibri" w:cs="Calibri"/>
                      <w:sz w:val="22"/>
                      <w:szCs w:val="22"/>
                    </w:rPr>
                    <w:t>.</w:t>
                  </w:r>
                  <w:r w:rsidRPr="00B87096">
                    <w:rPr>
                      <w:rFonts w:ascii="Calibri" w:hAnsi="Calibri" w:cs="Calibri"/>
                      <w:sz w:val="22"/>
                      <w:szCs w:val="22"/>
                    </w:rPr>
                    <w:t xml:space="preserve"> </w:t>
                  </w:r>
                  <w:r w:rsidR="00C50D2D" w:rsidRPr="00B87096">
                    <w:rPr>
                      <w:rFonts w:ascii="Calibri" w:hAnsi="Calibri" w:cs="Calibri"/>
                      <w:sz w:val="22"/>
                      <w:szCs w:val="22"/>
                    </w:rPr>
                    <w:t xml:space="preserve">Consideration will be given to programs that </w:t>
                  </w:r>
                  <w:r w:rsidR="00C50D2D" w:rsidRPr="00B87096">
                    <w:rPr>
                      <w:rFonts w:asciiTheme="minorHAnsi" w:hAnsiTheme="minorHAnsi"/>
                      <w:sz w:val="22"/>
                      <w:szCs w:val="22"/>
                    </w:rPr>
                    <w:t xml:space="preserve">include the potential integration of </w:t>
                  </w:r>
                  <w:proofErr w:type="spellStart"/>
                  <w:r w:rsidR="00C50D2D" w:rsidRPr="00B87096">
                    <w:rPr>
                      <w:rFonts w:asciiTheme="minorHAnsi" w:hAnsiTheme="minorHAnsi"/>
                      <w:sz w:val="22"/>
                      <w:szCs w:val="22"/>
                    </w:rPr>
                    <w:t>metabolomic</w:t>
                  </w:r>
                  <w:proofErr w:type="spellEnd"/>
                  <w:r w:rsidR="00C50D2D" w:rsidRPr="00B87096">
                    <w:rPr>
                      <w:rFonts w:asciiTheme="minorHAnsi" w:hAnsiTheme="minorHAnsi"/>
                      <w:sz w:val="22"/>
                      <w:szCs w:val="22"/>
                    </w:rPr>
                    <w:t xml:space="preserve"> approaches into precision healthcare.</w:t>
                  </w:r>
                </w:p>
                <w:p w:rsidR="00790B92" w:rsidRDefault="002E26A3" w:rsidP="007B415F">
                  <w:pPr>
                    <w:jc w:val="both"/>
                    <w:rPr>
                      <w:rFonts w:asciiTheme="minorHAnsi" w:hAnsiTheme="minorHAnsi"/>
                      <w:sz w:val="22"/>
                      <w:szCs w:val="22"/>
                    </w:rPr>
                  </w:pPr>
                  <w:r w:rsidRPr="00790B92">
                    <w:rPr>
                      <w:rFonts w:asciiTheme="minorHAnsi" w:hAnsiTheme="minorHAnsi"/>
                      <w:sz w:val="22"/>
                      <w:szCs w:val="22"/>
                    </w:rPr>
                    <w:t xml:space="preserve">The </w:t>
                  </w:r>
                  <w:r w:rsidR="00F41E42" w:rsidRPr="00790B92">
                    <w:rPr>
                      <w:rFonts w:asciiTheme="minorHAnsi" w:hAnsiTheme="minorHAnsi"/>
                      <w:sz w:val="22"/>
                      <w:szCs w:val="22"/>
                    </w:rPr>
                    <w:t>successful candidate</w:t>
                  </w:r>
                  <w:r w:rsidRPr="00790B92">
                    <w:rPr>
                      <w:rFonts w:asciiTheme="minorHAnsi" w:hAnsiTheme="minorHAnsi"/>
                      <w:sz w:val="22"/>
                      <w:szCs w:val="22"/>
                    </w:rPr>
                    <w:t xml:space="preserve"> will have opportunities to collaborate with a large and diverse community of basic scientists and clinicians</w:t>
                  </w:r>
                  <w:r w:rsidR="00977B29">
                    <w:rPr>
                      <w:rFonts w:asciiTheme="minorHAnsi" w:hAnsiTheme="minorHAnsi"/>
                      <w:sz w:val="22"/>
                      <w:szCs w:val="22"/>
                    </w:rPr>
                    <w:t xml:space="preserve"> by being </w:t>
                  </w:r>
                  <w:r w:rsidR="00977B29" w:rsidRPr="003C565E">
                    <w:rPr>
                      <w:rFonts w:ascii="Calibri" w:hAnsi="Calibri" w:cs="Calibri"/>
                      <w:sz w:val="22"/>
                      <w:szCs w:val="22"/>
                    </w:rPr>
                    <w:t xml:space="preserve">firmly embedded </w:t>
                  </w:r>
                  <w:r w:rsidR="00977B29">
                    <w:rPr>
                      <w:rFonts w:ascii="Calibri" w:hAnsi="Calibri" w:cs="Calibri"/>
                      <w:sz w:val="22"/>
                      <w:szCs w:val="22"/>
                    </w:rPr>
                    <w:t>in both</w:t>
                  </w:r>
                  <w:r w:rsidR="00977B29" w:rsidRPr="003C565E">
                    <w:rPr>
                      <w:rFonts w:ascii="Calibri" w:hAnsi="Calibri" w:cs="Calibri"/>
                      <w:sz w:val="22"/>
                      <w:szCs w:val="22"/>
                    </w:rPr>
                    <w:t xml:space="preserve"> a basic science department and a hospital-based research institute</w:t>
                  </w:r>
                  <w:r w:rsidRPr="00790B92">
                    <w:rPr>
                      <w:rFonts w:asciiTheme="minorHAnsi" w:hAnsiTheme="minorHAnsi"/>
                      <w:sz w:val="22"/>
                      <w:szCs w:val="22"/>
                    </w:rPr>
                    <w:t xml:space="preserve">. </w:t>
                  </w:r>
                  <w:r w:rsidR="00E57598" w:rsidRPr="00790B92">
                    <w:rPr>
                      <w:rFonts w:asciiTheme="minorHAnsi" w:hAnsiTheme="minorHAnsi"/>
                      <w:sz w:val="22"/>
                      <w:szCs w:val="22"/>
                    </w:rPr>
                    <w:t xml:space="preserve">The </w:t>
                  </w:r>
                  <w:r w:rsidR="00021226" w:rsidRPr="00790B92">
                    <w:rPr>
                      <w:rFonts w:asciiTheme="minorHAnsi" w:hAnsiTheme="minorHAnsi"/>
                      <w:sz w:val="22"/>
                      <w:szCs w:val="22"/>
                    </w:rPr>
                    <w:t>BC</w:t>
                  </w:r>
                  <w:r w:rsidR="008E503C">
                    <w:rPr>
                      <w:rFonts w:asciiTheme="minorHAnsi" w:hAnsiTheme="minorHAnsi"/>
                      <w:sz w:val="22"/>
                      <w:szCs w:val="22"/>
                    </w:rPr>
                    <w:t>CHR</w:t>
                  </w:r>
                  <w:r w:rsidR="00227A8B">
                    <w:rPr>
                      <w:rFonts w:asciiTheme="minorHAnsi" w:hAnsiTheme="minorHAnsi"/>
                      <w:sz w:val="22"/>
                      <w:szCs w:val="22"/>
                    </w:rPr>
                    <w:t xml:space="preserve"> consists of </w:t>
                  </w:r>
                  <w:r w:rsidR="00765268" w:rsidRPr="00790B92">
                    <w:rPr>
                      <w:rFonts w:asciiTheme="minorHAnsi" w:hAnsiTheme="minorHAnsi"/>
                      <w:sz w:val="22"/>
                      <w:szCs w:val="22"/>
                    </w:rPr>
                    <w:t>over 300</w:t>
                  </w:r>
                  <w:r w:rsidR="00215503">
                    <w:rPr>
                      <w:rFonts w:asciiTheme="minorHAnsi" w:hAnsiTheme="minorHAnsi"/>
                      <w:sz w:val="22"/>
                      <w:szCs w:val="22"/>
                    </w:rPr>
                    <w:t xml:space="preserve"> Investigators</w:t>
                  </w:r>
                  <w:r w:rsidR="00765268" w:rsidRPr="00790B92">
                    <w:rPr>
                      <w:rFonts w:asciiTheme="minorHAnsi" w:hAnsiTheme="minorHAnsi"/>
                      <w:sz w:val="22"/>
                      <w:szCs w:val="22"/>
                    </w:rPr>
                    <w:t xml:space="preserve"> </w:t>
                  </w:r>
                  <w:r w:rsidR="00215503">
                    <w:rPr>
                      <w:rFonts w:asciiTheme="minorHAnsi" w:hAnsiTheme="minorHAnsi"/>
                      <w:sz w:val="22"/>
                      <w:szCs w:val="22"/>
                    </w:rPr>
                    <w:t>(</w:t>
                  </w:r>
                  <w:r w:rsidR="00790B92">
                    <w:rPr>
                      <w:rFonts w:asciiTheme="minorHAnsi" w:hAnsiTheme="minorHAnsi"/>
                      <w:sz w:val="22"/>
                      <w:szCs w:val="22"/>
                    </w:rPr>
                    <w:t>clinicians and</w:t>
                  </w:r>
                  <w:r w:rsidR="00790B92" w:rsidRPr="00790B92">
                    <w:rPr>
                      <w:rFonts w:asciiTheme="minorHAnsi" w:hAnsiTheme="minorHAnsi"/>
                      <w:sz w:val="22"/>
                      <w:szCs w:val="22"/>
                    </w:rPr>
                    <w:t xml:space="preserve"> scientists</w:t>
                  </w:r>
                  <w:r w:rsidR="00215503">
                    <w:rPr>
                      <w:rFonts w:asciiTheme="minorHAnsi" w:hAnsiTheme="minorHAnsi"/>
                      <w:sz w:val="22"/>
                      <w:szCs w:val="22"/>
                    </w:rPr>
                    <w:t>)</w:t>
                  </w:r>
                  <w:r w:rsidR="00765268" w:rsidRPr="00790B92">
                    <w:rPr>
                      <w:rFonts w:asciiTheme="minorHAnsi" w:hAnsiTheme="minorHAnsi"/>
                      <w:sz w:val="22"/>
                      <w:szCs w:val="22"/>
                    </w:rPr>
                    <w:t xml:space="preserve"> form</w:t>
                  </w:r>
                  <w:r w:rsidR="00227A8B">
                    <w:rPr>
                      <w:rFonts w:asciiTheme="minorHAnsi" w:hAnsiTheme="minorHAnsi"/>
                      <w:sz w:val="22"/>
                      <w:szCs w:val="22"/>
                    </w:rPr>
                    <w:t>ing</w:t>
                  </w:r>
                  <w:r w:rsidR="00765268" w:rsidRPr="00790B92">
                    <w:rPr>
                      <w:rFonts w:asciiTheme="minorHAnsi" w:hAnsiTheme="minorHAnsi"/>
                      <w:sz w:val="22"/>
                      <w:szCs w:val="22"/>
                    </w:rPr>
                    <w:t xml:space="preserve"> a dynamic and highly collaborative research community</w:t>
                  </w:r>
                  <w:r w:rsidR="0071158B" w:rsidRPr="00790B92">
                    <w:rPr>
                      <w:rFonts w:asciiTheme="minorHAnsi" w:hAnsiTheme="minorHAnsi"/>
                      <w:sz w:val="22"/>
                      <w:szCs w:val="22"/>
                    </w:rPr>
                    <w:t xml:space="preserve"> </w:t>
                  </w:r>
                  <w:r w:rsidR="00F229FF" w:rsidRPr="00790B92">
                    <w:rPr>
                      <w:rFonts w:asciiTheme="minorHAnsi" w:hAnsiTheme="minorHAnsi"/>
                      <w:sz w:val="22"/>
                      <w:szCs w:val="22"/>
                    </w:rPr>
                    <w:t>that aims to improve the health of children and their families</w:t>
                  </w:r>
                  <w:r w:rsidR="00093C29">
                    <w:rPr>
                      <w:rFonts w:asciiTheme="minorHAnsi" w:hAnsiTheme="minorHAnsi"/>
                      <w:sz w:val="22"/>
                      <w:szCs w:val="22"/>
                    </w:rPr>
                    <w:t>.</w:t>
                  </w:r>
                  <w:r w:rsidR="00F41E42" w:rsidRPr="00227A8B">
                    <w:rPr>
                      <w:rFonts w:asciiTheme="minorHAnsi" w:hAnsiTheme="minorHAnsi" w:cstheme="minorHAnsi"/>
                      <w:sz w:val="22"/>
                      <w:szCs w:val="22"/>
                    </w:rPr>
                    <w:t xml:space="preserve"> </w:t>
                  </w:r>
                  <w:r w:rsidR="00E57598" w:rsidRPr="00790B92">
                    <w:rPr>
                      <w:rFonts w:asciiTheme="minorHAnsi" w:hAnsiTheme="minorHAnsi"/>
                      <w:sz w:val="22"/>
                      <w:szCs w:val="22"/>
                    </w:rPr>
                    <w:t>The Department of BMB consists of twenty</w:t>
                  </w:r>
                  <w:r w:rsidR="00C50D2D">
                    <w:rPr>
                      <w:rFonts w:asciiTheme="minorHAnsi" w:hAnsiTheme="minorHAnsi"/>
                      <w:sz w:val="22"/>
                      <w:szCs w:val="22"/>
                    </w:rPr>
                    <w:t>-one</w:t>
                  </w:r>
                  <w:r w:rsidR="00E57598" w:rsidRPr="00790B92">
                    <w:rPr>
                      <w:rFonts w:asciiTheme="minorHAnsi" w:hAnsiTheme="minorHAnsi"/>
                      <w:sz w:val="22"/>
                      <w:szCs w:val="22"/>
                    </w:rPr>
                    <w:t xml:space="preserve"> </w:t>
                  </w:r>
                  <w:r w:rsidR="00454CC4">
                    <w:rPr>
                      <w:rFonts w:asciiTheme="minorHAnsi" w:hAnsiTheme="minorHAnsi"/>
                      <w:sz w:val="22"/>
                      <w:szCs w:val="22"/>
                    </w:rPr>
                    <w:t xml:space="preserve">research </w:t>
                  </w:r>
                  <w:r w:rsidR="00E57598" w:rsidRPr="00790B92">
                    <w:rPr>
                      <w:rFonts w:asciiTheme="minorHAnsi" w:hAnsiTheme="minorHAnsi"/>
                      <w:sz w:val="22"/>
                      <w:szCs w:val="22"/>
                    </w:rPr>
                    <w:t>faculty members spanning all areas of biochemistry and molecular biology.</w:t>
                  </w:r>
                  <w:r w:rsidR="00FB3287">
                    <w:rPr>
                      <w:rFonts w:asciiTheme="minorHAnsi" w:hAnsiTheme="minorHAnsi"/>
                      <w:sz w:val="22"/>
                      <w:szCs w:val="22"/>
                    </w:rPr>
                    <w:t xml:space="preserve"> It has a thriving undergraduate degree program and a graduate program with roughly </w:t>
                  </w:r>
                  <w:r w:rsidR="00C50D2D">
                    <w:rPr>
                      <w:rFonts w:asciiTheme="minorHAnsi" w:hAnsiTheme="minorHAnsi"/>
                      <w:sz w:val="22"/>
                      <w:szCs w:val="22"/>
                    </w:rPr>
                    <w:t>nin</w:t>
                  </w:r>
                  <w:r w:rsidR="00C54D63">
                    <w:rPr>
                      <w:rFonts w:asciiTheme="minorHAnsi" w:hAnsiTheme="minorHAnsi"/>
                      <w:sz w:val="22"/>
                      <w:szCs w:val="22"/>
                    </w:rPr>
                    <w:t>e</w:t>
                  </w:r>
                  <w:r w:rsidR="00C50D2D">
                    <w:rPr>
                      <w:rFonts w:asciiTheme="minorHAnsi" w:hAnsiTheme="minorHAnsi"/>
                      <w:sz w:val="22"/>
                      <w:szCs w:val="22"/>
                    </w:rPr>
                    <w:t>ty</w:t>
                  </w:r>
                  <w:r w:rsidR="00FB3287">
                    <w:rPr>
                      <w:rFonts w:asciiTheme="minorHAnsi" w:hAnsiTheme="minorHAnsi"/>
                      <w:sz w:val="22"/>
                      <w:szCs w:val="22"/>
                    </w:rPr>
                    <w:t xml:space="preserve"> students across all UBC sites. Some of the research strengths in BMB include structural biology, host-pathogen interactions, and syste</w:t>
                  </w:r>
                  <w:r w:rsidR="00454CC4">
                    <w:rPr>
                      <w:rFonts w:asciiTheme="minorHAnsi" w:hAnsiTheme="minorHAnsi"/>
                      <w:sz w:val="22"/>
                      <w:szCs w:val="22"/>
                    </w:rPr>
                    <w:t>ms biology. Of specific relevance</w:t>
                  </w:r>
                  <w:r w:rsidR="00FB3287">
                    <w:rPr>
                      <w:rFonts w:asciiTheme="minorHAnsi" w:hAnsiTheme="minorHAnsi"/>
                      <w:sz w:val="22"/>
                      <w:szCs w:val="22"/>
                    </w:rPr>
                    <w:t xml:space="preserve">, there is considerable </w:t>
                  </w:r>
                  <w:r w:rsidR="005075B4">
                    <w:rPr>
                      <w:rFonts w:asciiTheme="minorHAnsi" w:hAnsiTheme="minorHAnsi"/>
                      <w:sz w:val="22"/>
                      <w:szCs w:val="22"/>
                    </w:rPr>
                    <w:t>expertise in biomolecular NMR and mass spectrometry.</w:t>
                  </w:r>
                </w:p>
                <w:p w:rsidR="00CF6135" w:rsidRDefault="00C50D2D" w:rsidP="007B415F">
                  <w:pPr>
                    <w:jc w:val="both"/>
                    <w:rPr>
                      <w:rFonts w:asciiTheme="minorHAnsi" w:hAnsiTheme="minorHAnsi"/>
                      <w:sz w:val="22"/>
                      <w:szCs w:val="22"/>
                    </w:rPr>
                  </w:pPr>
                  <w:r>
                    <w:rPr>
                      <w:rFonts w:asciiTheme="minorHAnsi" w:hAnsiTheme="minorHAnsi"/>
                      <w:sz w:val="22"/>
                      <w:szCs w:val="22"/>
                    </w:rPr>
                    <w:t xml:space="preserve"> </w:t>
                  </w:r>
                </w:p>
                <w:p w:rsidR="00CF6135" w:rsidRPr="00790B92" w:rsidRDefault="00CF6135" w:rsidP="00CF6135">
                  <w:pPr>
                    <w:pStyle w:val="Default"/>
                    <w:jc w:val="both"/>
                    <w:rPr>
                      <w:rFonts w:asciiTheme="minorHAnsi" w:hAnsiTheme="minorHAnsi"/>
                      <w:sz w:val="22"/>
                      <w:szCs w:val="22"/>
                      <w:lang w:val="en-CA"/>
                    </w:rPr>
                  </w:pPr>
                  <w:r>
                    <w:rPr>
                      <w:rFonts w:asciiTheme="minorHAnsi" w:hAnsiTheme="minorHAnsi"/>
                      <w:color w:val="auto"/>
                      <w:sz w:val="22"/>
                      <w:szCs w:val="22"/>
                    </w:rPr>
                    <w:t>As a Biochemist</w:t>
                  </w:r>
                  <w:r w:rsidR="00454CC4">
                    <w:rPr>
                      <w:rFonts w:asciiTheme="minorHAnsi" w:hAnsiTheme="minorHAnsi"/>
                      <w:color w:val="auto"/>
                      <w:sz w:val="22"/>
                      <w:szCs w:val="22"/>
                    </w:rPr>
                    <w:t>ry and Molecular Biology (BMB) f</w:t>
                  </w:r>
                  <w:r w:rsidR="003B4E45">
                    <w:rPr>
                      <w:rFonts w:asciiTheme="minorHAnsi" w:hAnsiTheme="minorHAnsi"/>
                      <w:color w:val="auto"/>
                      <w:sz w:val="22"/>
                      <w:szCs w:val="22"/>
                    </w:rPr>
                    <w:t>aculty member and a BCCHR i</w:t>
                  </w:r>
                  <w:r>
                    <w:rPr>
                      <w:rFonts w:asciiTheme="minorHAnsi" w:hAnsiTheme="minorHAnsi"/>
                      <w:color w:val="auto"/>
                      <w:sz w:val="22"/>
                      <w:szCs w:val="22"/>
                    </w:rPr>
                    <w:t>nvestigator</w:t>
                  </w:r>
                  <w:r w:rsidRPr="00790B92">
                    <w:rPr>
                      <w:rFonts w:asciiTheme="minorHAnsi" w:hAnsiTheme="minorHAnsi"/>
                      <w:color w:val="auto"/>
                      <w:sz w:val="22"/>
                      <w:szCs w:val="22"/>
                    </w:rPr>
                    <w:t>, the successful applicant will be expected to develop a strong, externally-funded and internationally-competitive research program, supervise graduate students and postdoctoral fellows, collaborate with other faculty members, actively participate in service to the Department, Research Institute, University, and academic/scientific community, and effectively teach undergraduate</w:t>
                  </w:r>
                  <w:r w:rsidR="0008260B">
                    <w:rPr>
                      <w:rFonts w:asciiTheme="minorHAnsi" w:hAnsiTheme="minorHAnsi"/>
                      <w:color w:val="auto"/>
                      <w:sz w:val="22"/>
                      <w:szCs w:val="22"/>
                    </w:rPr>
                    <w:t xml:space="preserve">, </w:t>
                  </w:r>
                  <w:r w:rsidRPr="00790B92">
                    <w:rPr>
                      <w:rFonts w:asciiTheme="minorHAnsi" w:hAnsiTheme="minorHAnsi"/>
                      <w:color w:val="auto"/>
                      <w:sz w:val="22"/>
                      <w:szCs w:val="22"/>
                    </w:rPr>
                    <w:t xml:space="preserve"> graduate </w:t>
                  </w:r>
                  <w:r w:rsidR="0008260B">
                    <w:rPr>
                      <w:rFonts w:asciiTheme="minorHAnsi" w:hAnsiTheme="minorHAnsi"/>
                      <w:color w:val="auto"/>
                      <w:sz w:val="22"/>
                      <w:szCs w:val="22"/>
                    </w:rPr>
                    <w:t xml:space="preserve">and postgraduate </w:t>
                  </w:r>
                  <w:r w:rsidR="00500FCC">
                    <w:rPr>
                      <w:rFonts w:asciiTheme="minorHAnsi" w:hAnsiTheme="minorHAnsi"/>
                      <w:color w:val="auto"/>
                      <w:sz w:val="22"/>
                      <w:szCs w:val="22"/>
                    </w:rPr>
                    <w:t>students</w:t>
                  </w:r>
                  <w:r w:rsidRPr="00790B92">
                    <w:rPr>
                      <w:rFonts w:asciiTheme="minorHAnsi" w:hAnsiTheme="minorHAnsi"/>
                      <w:color w:val="auto"/>
                      <w:sz w:val="22"/>
                      <w:szCs w:val="22"/>
                    </w:rPr>
                    <w:t xml:space="preserve"> in their field of expertise. Evidence of teaching excellence and an interest in innovative teaching methods is required.</w:t>
                  </w:r>
                  <w:r w:rsidRPr="003C565E">
                    <w:rPr>
                      <w:rFonts w:asciiTheme="minorHAnsi" w:hAnsiTheme="minorHAnsi"/>
                      <w:color w:val="auto"/>
                      <w:sz w:val="22"/>
                    </w:rPr>
                    <w:t xml:space="preserve"> </w:t>
                  </w:r>
                </w:p>
                <w:p w:rsidR="00CF6135" w:rsidRDefault="00CF6135" w:rsidP="007B415F">
                  <w:pPr>
                    <w:jc w:val="both"/>
                    <w:rPr>
                      <w:rFonts w:asciiTheme="minorHAnsi" w:hAnsiTheme="minorHAnsi"/>
                      <w:sz w:val="22"/>
                      <w:szCs w:val="22"/>
                    </w:rPr>
                  </w:pPr>
                </w:p>
                <w:p w:rsidR="007A187C" w:rsidRPr="00790B92" w:rsidRDefault="007A187C" w:rsidP="007B415F">
                  <w:pPr>
                    <w:jc w:val="both"/>
                    <w:rPr>
                      <w:rFonts w:asciiTheme="minorHAnsi" w:hAnsiTheme="minorHAnsi"/>
                      <w:sz w:val="22"/>
                      <w:szCs w:val="22"/>
                    </w:rPr>
                  </w:pPr>
                  <w:r>
                    <w:rPr>
                      <w:rFonts w:asciiTheme="minorHAnsi" w:hAnsiTheme="minorHAnsi"/>
                      <w:sz w:val="22"/>
                      <w:szCs w:val="22"/>
                    </w:rPr>
                    <w:t>Candidates for this position must hold a PhD degree or an MD/PhD, awar</w:t>
                  </w:r>
                  <w:r w:rsidR="00113F7F">
                    <w:rPr>
                      <w:rFonts w:asciiTheme="minorHAnsi" w:hAnsiTheme="minorHAnsi"/>
                      <w:sz w:val="22"/>
                      <w:szCs w:val="22"/>
                    </w:rPr>
                    <w:t>ded within the pa</w:t>
                  </w:r>
                  <w:r>
                    <w:rPr>
                      <w:rFonts w:asciiTheme="minorHAnsi" w:hAnsiTheme="minorHAnsi"/>
                      <w:sz w:val="22"/>
                      <w:szCs w:val="22"/>
                    </w:rPr>
                    <w:t xml:space="preserve">st </w:t>
                  </w:r>
                  <w:r w:rsidR="0008260B">
                    <w:rPr>
                      <w:rFonts w:asciiTheme="minorHAnsi" w:hAnsiTheme="minorHAnsi"/>
                      <w:sz w:val="22"/>
                      <w:szCs w:val="22"/>
                    </w:rPr>
                    <w:t>ten</w:t>
                  </w:r>
                  <w:r>
                    <w:rPr>
                      <w:rFonts w:asciiTheme="minorHAnsi" w:hAnsiTheme="minorHAnsi"/>
                      <w:sz w:val="22"/>
                      <w:szCs w:val="22"/>
                    </w:rPr>
                    <w:t xml:space="preserve"> years, or equivalent with postdoctoral research experience. The candidate will have demonstrated </w:t>
                  </w:r>
                  <w:r w:rsidR="00454CC4">
                    <w:rPr>
                      <w:rFonts w:asciiTheme="minorHAnsi" w:hAnsiTheme="minorHAnsi"/>
                      <w:sz w:val="22"/>
                      <w:szCs w:val="22"/>
                    </w:rPr>
                    <w:t xml:space="preserve">clear evidence of potential to develop an independent research program </w:t>
                  </w:r>
                  <w:r>
                    <w:rPr>
                      <w:rFonts w:asciiTheme="minorHAnsi" w:hAnsiTheme="minorHAnsi"/>
                      <w:sz w:val="22"/>
                      <w:szCs w:val="22"/>
                    </w:rPr>
                    <w:t>in the area of metabolomics, advanced skills in the analysis and interpretation of high dimensional data, and strong teaching accomplishments.</w:t>
                  </w:r>
                </w:p>
                <w:p w:rsidR="001C400B" w:rsidRPr="00790B92" w:rsidRDefault="001C400B" w:rsidP="00F5703C">
                  <w:pPr>
                    <w:pStyle w:val="Default"/>
                    <w:jc w:val="both"/>
                    <w:rPr>
                      <w:rFonts w:asciiTheme="minorHAnsi" w:hAnsiTheme="minorHAnsi"/>
                      <w:color w:val="auto"/>
                      <w:sz w:val="22"/>
                      <w:szCs w:val="22"/>
                    </w:rPr>
                  </w:pPr>
                </w:p>
                <w:p w:rsidR="00E57598" w:rsidRPr="00790B92" w:rsidRDefault="004B7943" w:rsidP="00F5703C">
                  <w:pPr>
                    <w:pStyle w:val="Default"/>
                    <w:jc w:val="both"/>
                    <w:rPr>
                      <w:rFonts w:asciiTheme="minorHAnsi" w:hAnsiTheme="minorHAnsi"/>
                      <w:color w:val="auto"/>
                      <w:sz w:val="22"/>
                      <w:szCs w:val="22"/>
                    </w:rPr>
                  </w:pPr>
                  <w:r>
                    <w:rPr>
                      <w:rFonts w:asciiTheme="minorHAnsi" w:hAnsiTheme="minorHAnsi"/>
                      <w:color w:val="auto"/>
                      <w:sz w:val="22"/>
                      <w:szCs w:val="22"/>
                    </w:rPr>
                    <w:t>The incumbent will report to the Head of the Department of Biochemistry and Molecular Biology.  All positions are subject to final budgetary approval.</w:t>
                  </w:r>
                  <w:r w:rsidR="00382113">
                    <w:rPr>
                      <w:rFonts w:asciiTheme="minorHAnsi" w:hAnsiTheme="minorHAnsi"/>
                      <w:color w:val="auto"/>
                      <w:sz w:val="22"/>
                      <w:szCs w:val="22"/>
                    </w:rPr>
                    <w:t xml:space="preserve"> </w:t>
                  </w:r>
                  <w:r w:rsidR="00463C2D" w:rsidRPr="00790B92">
                    <w:rPr>
                      <w:rFonts w:asciiTheme="minorHAnsi" w:hAnsiTheme="minorHAnsi"/>
                      <w:color w:val="auto"/>
                      <w:sz w:val="22"/>
                      <w:szCs w:val="22"/>
                    </w:rPr>
                    <w:t xml:space="preserve">Salary will be commensurate with qualifications and experience. Competitive start-up </w:t>
                  </w:r>
                  <w:r w:rsidR="001A0E39">
                    <w:rPr>
                      <w:rFonts w:asciiTheme="minorHAnsi" w:hAnsiTheme="minorHAnsi"/>
                      <w:color w:val="auto"/>
                      <w:sz w:val="22"/>
                      <w:szCs w:val="22"/>
                    </w:rPr>
                    <w:t xml:space="preserve">and </w:t>
                  </w:r>
                  <w:r w:rsidR="00463C2D" w:rsidRPr="00790B92">
                    <w:rPr>
                      <w:rFonts w:asciiTheme="minorHAnsi" w:hAnsiTheme="minorHAnsi"/>
                      <w:color w:val="auto"/>
                      <w:sz w:val="22"/>
                      <w:szCs w:val="22"/>
                    </w:rPr>
                    <w:t xml:space="preserve">infrastructure development funds will be provided.  </w:t>
                  </w:r>
                  <w:r w:rsidR="00590C64">
                    <w:rPr>
                      <w:rFonts w:asciiTheme="minorHAnsi" w:hAnsiTheme="minorHAnsi"/>
                      <w:color w:val="auto"/>
                      <w:sz w:val="22"/>
                      <w:szCs w:val="22"/>
                    </w:rPr>
                    <w:t xml:space="preserve">The </w:t>
                  </w:r>
                  <w:proofErr w:type="spellStart"/>
                  <w:r w:rsidR="00590C64">
                    <w:rPr>
                      <w:rFonts w:asciiTheme="minorHAnsi" w:hAnsiTheme="minorHAnsi"/>
                      <w:color w:val="auto"/>
                      <w:sz w:val="22"/>
                      <w:szCs w:val="22"/>
                    </w:rPr>
                    <w:t>antipicated</w:t>
                  </w:r>
                  <w:proofErr w:type="spellEnd"/>
                  <w:r w:rsidR="00590C64">
                    <w:rPr>
                      <w:rFonts w:asciiTheme="minorHAnsi" w:hAnsiTheme="minorHAnsi"/>
                      <w:color w:val="auto"/>
                      <w:sz w:val="22"/>
                      <w:szCs w:val="22"/>
                    </w:rPr>
                    <w:t xml:space="preserve"> start date for this position </w:t>
                  </w:r>
                  <w:r w:rsidR="000250A3">
                    <w:rPr>
                      <w:rFonts w:asciiTheme="minorHAnsi" w:hAnsiTheme="minorHAnsi"/>
                      <w:color w:val="auto"/>
                      <w:sz w:val="22"/>
                      <w:szCs w:val="22"/>
                    </w:rPr>
                    <w:t xml:space="preserve">is </w:t>
                  </w:r>
                  <w:r w:rsidR="001A0E39">
                    <w:rPr>
                      <w:rFonts w:asciiTheme="minorHAnsi" w:hAnsiTheme="minorHAnsi"/>
                      <w:color w:val="auto"/>
                      <w:sz w:val="22"/>
                      <w:szCs w:val="22"/>
                    </w:rPr>
                    <w:t>July</w:t>
                  </w:r>
                  <w:r w:rsidR="000250A3">
                    <w:rPr>
                      <w:rFonts w:asciiTheme="minorHAnsi" w:hAnsiTheme="minorHAnsi"/>
                      <w:color w:val="auto"/>
                      <w:sz w:val="22"/>
                      <w:szCs w:val="22"/>
                    </w:rPr>
                    <w:t xml:space="preserve"> 1, 2019, or a date </w:t>
                  </w:r>
                  <w:proofErr w:type="gramStart"/>
                  <w:r w:rsidR="000250A3">
                    <w:rPr>
                      <w:rFonts w:asciiTheme="minorHAnsi" w:hAnsiTheme="minorHAnsi"/>
                      <w:color w:val="auto"/>
                      <w:sz w:val="22"/>
                      <w:szCs w:val="22"/>
                    </w:rPr>
                    <w:t xml:space="preserve">to </w:t>
                  </w:r>
                  <w:r w:rsidR="00590C64">
                    <w:rPr>
                      <w:rFonts w:asciiTheme="minorHAnsi" w:hAnsiTheme="minorHAnsi"/>
                      <w:color w:val="auto"/>
                      <w:sz w:val="22"/>
                      <w:szCs w:val="22"/>
                    </w:rPr>
                    <w:t xml:space="preserve"> be</w:t>
                  </w:r>
                  <w:proofErr w:type="gramEnd"/>
                  <w:r w:rsidR="00590C64">
                    <w:rPr>
                      <w:rFonts w:asciiTheme="minorHAnsi" w:hAnsiTheme="minorHAnsi"/>
                      <w:color w:val="auto"/>
                      <w:sz w:val="22"/>
                      <w:szCs w:val="22"/>
                    </w:rPr>
                    <w:t xml:space="preserve"> mutually </w:t>
                  </w:r>
                  <w:proofErr w:type="spellStart"/>
                  <w:r w:rsidR="00590C64">
                    <w:rPr>
                      <w:rFonts w:asciiTheme="minorHAnsi" w:hAnsiTheme="minorHAnsi"/>
                      <w:color w:val="auto"/>
                      <w:sz w:val="22"/>
                      <w:szCs w:val="22"/>
                    </w:rPr>
                    <w:t>agree</w:t>
                  </w:r>
                  <w:proofErr w:type="spellEnd"/>
                  <w:r w:rsidR="00590C64">
                    <w:rPr>
                      <w:rFonts w:asciiTheme="minorHAnsi" w:hAnsiTheme="minorHAnsi"/>
                      <w:color w:val="auto"/>
                      <w:sz w:val="22"/>
                      <w:szCs w:val="22"/>
                    </w:rPr>
                    <w:t xml:space="preserve"> upon.   </w:t>
                  </w:r>
                  <w:r w:rsidR="00463C2D" w:rsidRPr="00790B92">
                    <w:rPr>
                      <w:rFonts w:asciiTheme="minorHAnsi" w:hAnsiTheme="minorHAnsi"/>
                      <w:color w:val="auto"/>
                      <w:sz w:val="22"/>
                      <w:szCs w:val="22"/>
                    </w:rPr>
                    <w:t xml:space="preserve"> </w:t>
                  </w:r>
                </w:p>
                <w:p w:rsidR="00E57598" w:rsidRPr="00790B92" w:rsidRDefault="00E57598" w:rsidP="00F5703C">
                  <w:pPr>
                    <w:pStyle w:val="Default"/>
                    <w:jc w:val="both"/>
                    <w:rPr>
                      <w:rFonts w:asciiTheme="minorHAnsi" w:hAnsiTheme="minorHAnsi"/>
                      <w:color w:val="auto"/>
                      <w:sz w:val="22"/>
                      <w:szCs w:val="22"/>
                    </w:rPr>
                  </w:pPr>
                </w:p>
                <w:p w:rsidR="00A854E1" w:rsidRDefault="00A854E1" w:rsidP="00F5703C">
                  <w:pPr>
                    <w:pStyle w:val="Default"/>
                    <w:jc w:val="both"/>
                    <w:rPr>
                      <w:rFonts w:asciiTheme="minorHAnsi" w:hAnsiTheme="minorHAnsi"/>
                      <w:color w:val="auto"/>
                      <w:sz w:val="22"/>
                      <w:szCs w:val="22"/>
                    </w:rPr>
                  </w:pPr>
                </w:p>
                <w:p w:rsidR="00F65B32" w:rsidRPr="00790B92" w:rsidRDefault="00E57598" w:rsidP="00F5703C">
                  <w:pPr>
                    <w:pStyle w:val="Default"/>
                    <w:jc w:val="both"/>
                    <w:rPr>
                      <w:rFonts w:asciiTheme="minorHAnsi" w:hAnsiTheme="minorHAnsi"/>
                      <w:color w:val="auto"/>
                      <w:sz w:val="22"/>
                      <w:szCs w:val="22"/>
                    </w:rPr>
                  </w:pPr>
                  <w:r w:rsidRPr="00790B92">
                    <w:rPr>
                      <w:rFonts w:asciiTheme="minorHAnsi" w:hAnsiTheme="minorHAnsi"/>
                      <w:color w:val="auto"/>
                      <w:sz w:val="22"/>
                      <w:szCs w:val="22"/>
                    </w:rPr>
                    <w:lastRenderedPageBreak/>
                    <w:t xml:space="preserve">Applicants should send a cover letter, a </w:t>
                  </w:r>
                  <w:r w:rsidRPr="002841B3">
                    <w:rPr>
                      <w:rFonts w:asciiTheme="minorHAnsi" w:hAnsiTheme="minorHAnsi"/>
                      <w:color w:val="auto"/>
                      <w:sz w:val="22"/>
                      <w:szCs w:val="22"/>
                    </w:rPr>
                    <w:t>curriculum vitae</w:t>
                  </w:r>
                  <w:r w:rsidRPr="00790B92">
                    <w:rPr>
                      <w:rFonts w:asciiTheme="minorHAnsi" w:hAnsiTheme="minorHAnsi"/>
                      <w:color w:val="auto"/>
                      <w:sz w:val="22"/>
                      <w:szCs w:val="22"/>
                    </w:rPr>
                    <w:t xml:space="preserve">, a detailed summary of research interests describing two potentially fundable projects </w:t>
                  </w:r>
                  <w:r w:rsidR="00500FCC">
                    <w:rPr>
                      <w:rFonts w:asciiTheme="minorHAnsi" w:hAnsiTheme="minorHAnsi"/>
                      <w:color w:val="auto"/>
                      <w:sz w:val="22"/>
                      <w:szCs w:val="22"/>
                    </w:rPr>
                    <w:t>and fit to the two host institutions</w:t>
                  </w:r>
                  <w:r w:rsidR="00500FCC" w:rsidRPr="00790B92">
                    <w:rPr>
                      <w:rFonts w:asciiTheme="minorHAnsi" w:hAnsiTheme="minorHAnsi"/>
                      <w:color w:val="auto"/>
                      <w:sz w:val="22"/>
                      <w:szCs w:val="22"/>
                    </w:rPr>
                    <w:t xml:space="preserve"> </w:t>
                  </w:r>
                  <w:r w:rsidRPr="00790B92">
                    <w:rPr>
                      <w:rFonts w:asciiTheme="minorHAnsi" w:hAnsiTheme="minorHAnsi"/>
                      <w:color w:val="auto"/>
                      <w:sz w:val="22"/>
                      <w:szCs w:val="22"/>
                    </w:rPr>
                    <w:t xml:space="preserve">(maximum </w:t>
                  </w:r>
                  <w:r w:rsidR="0008260B">
                    <w:rPr>
                      <w:rFonts w:asciiTheme="minorHAnsi" w:hAnsiTheme="minorHAnsi"/>
                      <w:color w:val="auto"/>
                      <w:sz w:val="22"/>
                      <w:szCs w:val="22"/>
                    </w:rPr>
                    <w:t>five (</w:t>
                  </w:r>
                  <w:r w:rsidRPr="00790B92">
                    <w:rPr>
                      <w:rFonts w:asciiTheme="minorHAnsi" w:hAnsiTheme="minorHAnsi"/>
                      <w:color w:val="auto"/>
                      <w:sz w:val="22"/>
                      <w:szCs w:val="22"/>
                    </w:rPr>
                    <w:t>5</w:t>
                  </w:r>
                  <w:r w:rsidR="0008260B">
                    <w:rPr>
                      <w:rFonts w:asciiTheme="minorHAnsi" w:hAnsiTheme="minorHAnsi"/>
                      <w:color w:val="auto"/>
                      <w:sz w:val="22"/>
                      <w:szCs w:val="22"/>
                    </w:rPr>
                    <w:t>)</w:t>
                  </w:r>
                  <w:r w:rsidRPr="00790B92">
                    <w:rPr>
                      <w:rFonts w:asciiTheme="minorHAnsi" w:hAnsiTheme="minorHAnsi"/>
                      <w:color w:val="auto"/>
                      <w:sz w:val="22"/>
                      <w:szCs w:val="22"/>
                    </w:rPr>
                    <w:t xml:space="preserve"> pages), a statement of teaching accomplishments and interests</w:t>
                  </w:r>
                  <w:r w:rsidR="00F65B32" w:rsidRPr="00790B92">
                    <w:rPr>
                      <w:rFonts w:asciiTheme="minorHAnsi" w:hAnsiTheme="minorHAnsi"/>
                      <w:color w:val="auto"/>
                      <w:sz w:val="22"/>
                      <w:szCs w:val="22"/>
                    </w:rPr>
                    <w:t xml:space="preserve">, and the names and </w:t>
                  </w:r>
                  <w:r w:rsidR="0008260B">
                    <w:rPr>
                      <w:rFonts w:asciiTheme="minorHAnsi" w:hAnsiTheme="minorHAnsi"/>
                      <w:color w:val="auto"/>
                      <w:sz w:val="22"/>
                      <w:szCs w:val="22"/>
                    </w:rPr>
                    <w:t>l</w:t>
                  </w:r>
                  <w:r w:rsidR="00382113">
                    <w:rPr>
                      <w:rFonts w:asciiTheme="minorHAnsi" w:hAnsiTheme="minorHAnsi"/>
                      <w:color w:val="auto"/>
                      <w:sz w:val="22"/>
                      <w:szCs w:val="22"/>
                    </w:rPr>
                    <w:t xml:space="preserve">etters of </w:t>
                  </w:r>
                  <w:r w:rsidR="0008260B">
                    <w:rPr>
                      <w:rFonts w:asciiTheme="minorHAnsi" w:hAnsiTheme="minorHAnsi"/>
                      <w:color w:val="auto"/>
                      <w:sz w:val="22"/>
                      <w:szCs w:val="22"/>
                    </w:rPr>
                    <w:t>s</w:t>
                  </w:r>
                  <w:r w:rsidR="00F65B32" w:rsidRPr="00790B92">
                    <w:rPr>
                      <w:rFonts w:asciiTheme="minorHAnsi" w:hAnsiTheme="minorHAnsi"/>
                      <w:color w:val="auto"/>
                      <w:sz w:val="22"/>
                      <w:szCs w:val="22"/>
                    </w:rPr>
                    <w:t xml:space="preserve">upport </w:t>
                  </w:r>
                  <w:r w:rsidR="00382113">
                    <w:rPr>
                      <w:rFonts w:asciiTheme="minorHAnsi" w:hAnsiTheme="minorHAnsi"/>
                      <w:color w:val="auto"/>
                      <w:sz w:val="22"/>
                      <w:szCs w:val="22"/>
                    </w:rPr>
                    <w:t>from</w:t>
                  </w:r>
                  <w:r w:rsidR="00F65B32" w:rsidRPr="00790B92">
                    <w:rPr>
                      <w:rFonts w:asciiTheme="minorHAnsi" w:hAnsiTheme="minorHAnsi"/>
                      <w:color w:val="auto"/>
                      <w:sz w:val="22"/>
                      <w:szCs w:val="22"/>
                    </w:rPr>
                    <w:t xml:space="preserve"> at least </w:t>
                  </w:r>
                  <w:r w:rsidR="0008260B">
                    <w:rPr>
                      <w:rFonts w:asciiTheme="minorHAnsi" w:hAnsiTheme="minorHAnsi"/>
                      <w:color w:val="auto"/>
                      <w:sz w:val="22"/>
                      <w:szCs w:val="22"/>
                    </w:rPr>
                    <w:t>three (</w:t>
                  </w:r>
                  <w:r w:rsidR="00F65B32" w:rsidRPr="00790B92">
                    <w:rPr>
                      <w:rFonts w:asciiTheme="minorHAnsi" w:hAnsiTheme="minorHAnsi"/>
                      <w:color w:val="auto"/>
                      <w:sz w:val="22"/>
                      <w:szCs w:val="22"/>
                    </w:rPr>
                    <w:t>3</w:t>
                  </w:r>
                  <w:r w:rsidR="0008260B">
                    <w:rPr>
                      <w:rFonts w:asciiTheme="minorHAnsi" w:hAnsiTheme="minorHAnsi"/>
                      <w:color w:val="auto"/>
                      <w:sz w:val="22"/>
                      <w:szCs w:val="22"/>
                    </w:rPr>
                    <w:t>)</w:t>
                  </w:r>
                  <w:r w:rsidR="00F65B32" w:rsidRPr="00790B92">
                    <w:rPr>
                      <w:rFonts w:asciiTheme="minorHAnsi" w:hAnsiTheme="minorHAnsi"/>
                      <w:color w:val="auto"/>
                      <w:sz w:val="22"/>
                      <w:szCs w:val="22"/>
                    </w:rPr>
                    <w:t xml:space="preserve"> </w:t>
                  </w:r>
                  <w:r w:rsidR="00F41E42" w:rsidRPr="00790B92">
                    <w:rPr>
                      <w:rFonts w:asciiTheme="minorHAnsi" w:hAnsiTheme="minorHAnsi"/>
                      <w:color w:val="auto"/>
                      <w:sz w:val="22"/>
                      <w:szCs w:val="22"/>
                    </w:rPr>
                    <w:t>referees</w:t>
                  </w:r>
                  <w:r w:rsidRPr="00790B92">
                    <w:rPr>
                      <w:rFonts w:asciiTheme="minorHAnsi" w:hAnsiTheme="minorHAnsi"/>
                      <w:color w:val="auto"/>
                      <w:sz w:val="22"/>
                      <w:szCs w:val="22"/>
                    </w:rPr>
                    <w:t xml:space="preserve"> to</w:t>
                  </w:r>
                  <w:r w:rsidR="00F65B32" w:rsidRPr="00790B92">
                    <w:rPr>
                      <w:rFonts w:asciiTheme="minorHAnsi" w:hAnsiTheme="minorHAnsi"/>
                      <w:color w:val="auto"/>
                      <w:sz w:val="22"/>
                      <w:szCs w:val="22"/>
                    </w:rPr>
                    <w:t>:</w:t>
                  </w:r>
                  <w:r w:rsidRPr="00790B92">
                    <w:rPr>
                      <w:rFonts w:asciiTheme="minorHAnsi" w:hAnsiTheme="minorHAnsi"/>
                      <w:color w:val="auto"/>
                      <w:sz w:val="22"/>
                      <w:szCs w:val="22"/>
                    </w:rPr>
                    <w:t xml:space="preserve"> </w:t>
                  </w:r>
                </w:p>
                <w:p w:rsidR="00F65B32" w:rsidRPr="00790B92" w:rsidRDefault="00F65B32" w:rsidP="00762869">
                  <w:pPr>
                    <w:pStyle w:val="Default"/>
                    <w:rPr>
                      <w:rFonts w:asciiTheme="minorHAnsi" w:hAnsiTheme="minorHAnsi"/>
                      <w:color w:val="auto"/>
                      <w:sz w:val="22"/>
                      <w:szCs w:val="22"/>
                    </w:rPr>
                  </w:pPr>
                </w:p>
                <w:p w:rsidR="00240CAC" w:rsidRPr="00790B92" w:rsidRDefault="00E57598" w:rsidP="00F65B32">
                  <w:pPr>
                    <w:pStyle w:val="Default"/>
                    <w:rPr>
                      <w:rFonts w:asciiTheme="minorHAnsi" w:hAnsiTheme="minorHAnsi" w:cs="Arial"/>
                      <w:color w:val="auto"/>
                      <w:sz w:val="22"/>
                      <w:szCs w:val="22"/>
                      <w:shd w:val="clear" w:color="auto" w:fill="FFFFFF"/>
                    </w:rPr>
                  </w:pPr>
                  <w:r w:rsidRPr="00790B92">
                    <w:rPr>
                      <w:rFonts w:asciiTheme="minorHAnsi" w:hAnsiTheme="minorHAnsi"/>
                      <w:color w:val="auto"/>
                      <w:sz w:val="22"/>
                      <w:szCs w:val="22"/>
                    </w:rPr>
                    <w:t>Dr.</w:t>
                  </w:r>
                  <w:r w:rsidR="0071158B" w:rsidRPr="00790B92">
                    <w:rPr>
                      <w:rFonts w:asciiTheme="minorHAnsi" w:hAnsiTheme="minorHAnsi"/>
                      <w:color w:val="auto"/>
                      <w:sz w:val="22"/>
                      <w:szCs w:val="22"/>
                    </w:rPr>
                    <w:t xml:space="preserve"> Leonard Foster</w:t>
                  </w:r>
                  <w:r w:rsidR="002C2E14" w:rsidRPr="00790B92">
                    <w:rPr>
                      <w:rFonts w:asciiTheme="minorHAnsi" w:hAnsiTheme="minorHAnsi"/>
                      <w:color w:val="auto"/>
                      <w:sz w:val="22"/>
                      <w:szCs w:val="22"/>
                    </w:rPr>
                    <w:t xml:space="preserve">, </w:t>
                  </w:r>
                  <w:r w:rsidR="002C2E14" w:rsidRPr="00790B92">
                    <w:rPr>
                      <w:rFonts w:asciiTheme="minorHAnsi" w:hAnsiTheme="minorHAnsi" w:cs="Arial"/>
                      <w:color w:val="auto"/>
                      <w:sz w:val="22"/>
                      <w:szCs w:val="22"/>
                      <w:shd w:val="clear" w:color="auto" w:fill="FFFFFF"/>
                    </w:rPr>
                    <w:t>Professor and Head</w:t>
                  </w:r>
                </w:p>
                <w:p w:rsidR="002C2E14" w:rsidRPr="00790B92" w:rsidRDefault="00240CAC" w:rsidP="00F65B32">
                  <w:pPr>
                    <w:pStyle w:val="Default"/>
                    <w:rPr>
                      <w:rFonts w:asciiTheme="minorHAnsi" w:hAnsiTheme="minorHAnsi"/>
                      <w:color w:val="auto"/>
                      <w:sz w:val="22"/>
                      <w:szCs w:val="22"/>
                    </w:rPr>
                  </w:pPr>
                  <w:r w:rsidRPr="00790B92">
                    <w:rPr>
                      <w:rFonts w:asciiTheme="minorHAnsi" w:hAnsiTheme="minorHAnsi" w:cs="Arial"/>
                      <w:color w:val="auto"/>
                      <w:sz w:val="22"/>
                      <w:szCs w:val="22"/>
                      <w:shd w:val="clear" w:color="auto" w:fill="FFFFFF"/>
                    </w:rPr>
                    <w:t>UBC</w:t>
                  </w:r>
                  <w:r w:rsidR="00D70B10" w:rsidRPr="00790B92">
                    <w:rPr>
                      <w:rFonts w:asciiTheme="minorHAnsi" w:hAnsiTheme="minorHAnsi" w:cs="Arial"/>
                      <w:color w:val="auto"/>
                      <w:sz w:val="22"/>
                      <w:szCs w:val="22"/>
                      <w:shd w:val="clear" w:color="auto" w:fill="FFFFFF"/>
                    </w:rPr>
                    <w:t>, Department</w:t>
                  </w:r>
                  <w:r w:rsidRPr="00790B92">
                    <w:rPr>
                      <w:rFonts w:asciiTheme="minorHAnsi" w:hAnsiTheme="minorHAnsi" w:cs="Arial"/>
                      <w:color w:val="auto"/>
                      <w:sz w:val="22"/>
                      <w:szCs w:val="22"/>
                      <w:shd w:val="clear" w:color="auto" w:fill="FFFFFF"/>
                    </w:rPr>
                    <w:t xml:space="preserve"> Biochemistry and Molecular Biology</w:t>
                  </w:r>
                </w:p>
                <w:p w:rsidR="00590C64" w:rsidRPr="00790B92" w:rsidRDefault="002C2E14" w:rsidP="00F65B32">
                  <w:pPr>
                    <w:pStyle w:val="Default"/>
                    <w:rPr>
                      <w:rFonts w:asciiTheme="minorHAnsi" w:hAnsiTheme="minorHAnsi"/>
                      <w:color w:val="auto"/>
                      <w:sz w:val="22"/>
                      <w:szCs w:val="22"/>
                    </w:rPr>
                  </w:pPr>
                  <w:r w:rsidRPr="00790B92">
                    <w:rPr>
                      <w:rFonts w:asciiTheme="minorHAnsi" w:hAnsiTheme="minorHAnsi"/>
                      <w:color w:val="auto"/>
                      <w:sz w:val="22"/>
                      <w:szCs w:val="22"/>
                    </w:rPr>
                    <w:t xml:space="preserve">Email: </w:t>
                  </w:r>
                  <w:hyperlink r:id="rId5" w:history="1">
                    <w:r w:rsidR="002D20B8" w:rsidRPr="002F4E9E">
                      <w:rPr>
                        <w:rStyle w:val="Hyperlink"/>
                        <w:rFonts w:asciiTheme="minorHAnsi" w:hAnsiTheme="minorHAnsi"/>
                        <w:sz w:val="22"/>
                        <w:szCs w:val="22"/>
                      </w:rPr>
                      <w:t>bioc.sec@ubc.ca</w:t>
                    </w:r>
                  </w:hyperlink>
                  <w:r w:rsidR="00590C64">
                    <w:rPr>
                      <w:rFonts w:asciiTheme="minorHAnsi" w:hAnsiTheme="minorHAnsi"/>
                      <w:color w:val="auto"/>
                      <w:sz w:val="22"/>
                      <w:szCs w:val="22"/>
                    </w:rPr>
                    <w:t> </w:t>
                  </w:r>
                  <w:r w:rsidR="002D20B8">
                    <w:rPr>
                      <w:rFonts w:asciiTheme="minorHAnsi" w:hAnsiTheme="minorHAnsi"/>
                      <w:color w:val="auto"/>
                      <w:sz w:val="22"/>
                      <w:szCs w:val="22"/>
                    </w:rPr>
                    <w:t xml:space="preserve"> </w:t>
                  </w:r>
                  <w:r w:rsidR="00590C64">
                    <w:rPr>
                      <w:rFonts w:asciiTheme="minorHAnsi" w:hAnsiTheme="minorHAnsi"/>
                      <w:color w:val="auto"/>
                      <w:sz w:val="22"/>
                      <w:szCs w:val="22"/>
                    </w:rPr>
                    <w:t>with subject line:  Assistant Professor position</w:t>
                  </w:r>
                </w:p>
                <w:p w:rsidR="00F46A9E" w:rsidRDefault="00F46A9E" w:rsidP="00F65B32">
                  <w:pPr>
                    <w:pStyle w:val="Default"/>
                    <w:rPr>
                      <w:rFonts w:asciiTheme="minorHAnsi" w:hAnsiTheme="minorHAnsi"/>
                      <w:color w:val="auto"/>
                      <w:sz w:val="22"/>
                      <w:szCs w:val="22"/>
                    </w:rPr>
                  </w:pPr>
                </w:p>
                <w:p w:rsidR="00F46A9E" w:rsidRPr="00790B92" w:rsidRDefault="00F46A9E" w:rsidP="00F65B32">
                  <w:pPr>
                    <w:pStyle w:val="Default"/>
                    <w:rPr>
                      <w:rFonts w:asciiTheme="minorHAnsi" w:hAnsiTheme="minorHAnsi"/>
                      <w:color w:val="auto"/>
                      <w:sz w:val="22"/>
                      <w:szCs w:val="22"/>
                    </w:rPr>
                  </w:pPr>
                  <w:r>
                    <w:rPr>
                      <w:rFonts w:asciiTheme="minorHAnsi" w:hAnsiTheme="minorHAnsi"/>
                      <w:color w:val="auto"/>
                      <w:sz w:val="22"/>
                      <w:szCs w:val="22"/>
                    </w:rPr>
                    <w:t xml:space="preserve">Review of applications will </w:t>
                  </w:r>
                  <w:r w:rsidR="005B78FA">
                    <w:rPr>
                      <w:rFonts w:asciiTheme="minorHAnsi" w:hAnsiTheme="minorHAnsi"/>
                      <w:color w:val="auto"/>
                      <w:sz w:val="22"/>
                      <w:szCs w:val="22"/>
                    </w:rPr>
                    <w:t xml:space="preserve">begin on January 31, </w:t>
                  </w:r>
                  <w:proofErr w:type="gramStart"/>
                  <w:r w:rsidR="005B78FA">
                    <w:rPr>
                      <w:rFonts w:asciiTheme="minorHAnsi" w:hAnsiTheme="minorHAnsi"/>
                      <w:color w:val="auto"/>
                      <w:sz w:val="22"/>
                      <w:szCs w:val="22"/>
                    </w:rPr>
                    <w:t xml:space="preserve">2019  </w:t>
                  </w:r>
                  <w:r>
                    <w:rPr>
                      <w:rFonts w:asciiTheme="minorHAnsi" w:hAnsiTheme="minorHAnsi"/>
                      <w:color w:val="auto"/>
                      <w:sz w:val="22"/>
                      <w:szCs w:val="22"/>
                    </w:rPr>
                    <w:t>and</w:t>
                  </w:r>
                  <w:proofErr w:type="gramEnd"/>
                  <w:r>
                    <w:rPr>
                      <w:rFonts w:asciiTheme="minorHAnsi" w:hAnsiTheme="minorHAnsi"/>
                      <w:color w:val="auto"/>
                      <w:sz w:val="22"/>
                      <w:szCs w:val="22"/>
                    </w:rPr>
                    <w:t xml:space="preserve"> continue until the position is filled.</w:t>
                  </w:r>
                </w:p>
                <w:p w:rsidR="00F65B32" w:rsidRPr="00790B92" w:rsidRDefault="00F65B32" w:rsidP="00F65B32">
                  <w:pPr>
                    <w:pStyle w:val="Default"/>
                    <w:rPr>
                      <w:color w:val="auto"/>
                      <w:sz w:val="22"/>
                      <w:szCs w:val="22"/>
                    </w:rPr>
                  </w:pPr>
                </w:p>
                <w:p w:rsidR="00E57598" w:rsidRDefault="00E57598" w:rsidP="00F65B32">
                  <w:pPr>
                    <w:pStyle w:val="Default"/>
                    <w:rPr>
                      <w:sz w:val="22"/>
                      <w:szCs w:val="22"/>
                    </w:rPr>
                  </w:pPr>
                </w:p>
              </w:tc>
            </w:tr>
          </w:tbl>
          <w:p w:rsidR="00E57598" w:rsidRPr="00883175" w:rsidRDefault="00E57598" w:rsidP="00762869">
            <w:pPr>
              <w:pStyle w:val="BodyText"/>
              <w:spacing w:after="0"/>
              <w:ind w:right="360"/>
              <w:rPr>
                <w:rFonts w:asciiTheme="minorHAnsi" w:hAnsiTheme="minorHAnsi" w:cs="Calibri"/>
                <w:sz w:val="22"/>
                <w:szCs w:val="22"/>
              </w:rPr>
            </w:pPr>
          </w:p>
        </w:tc>
      </w:tr>
      <w:tr w:rsidR="00E57598" w:rsidRPr="00D03BC5" w:rsidTr="00762869">
        <w:tc>
          <w:tcPr>
            <w:tcW w:w="11700" w:type="dxa"/>
            <w:tcBorders>
              <w:top w:val="single" w:sz="4" w:space="0" w:color="004685"/>
              <w:left w:val="single" w:sz="4" w:space="0" w:color="004685"/>
              <w:bottom w:val="single" w:sz="4" w:space="0" w:color="004685"/>
              <w:right w:val="single" w:sz="4" w:space="0" w:color="004685"/>
            </w:tcBorders>
            <w:tcMar>
              <w:top w:w="115" w:type="dxa"/>
              <w:left w:w="288" w:type="dxa"/>
              <w:bottom w:w="115" w:type="dxa"/>
              <w:right w:w="288" w:type="dxa"/>
            </w:tcMar>
            <w:hideMark/>
          </w:tcPr>
          <w:p w:rsidR="00E57598" w:rsidRPr="00D03BC5" w:rsidRDefault="00E57598" w:rsidP="00762869">
            <w:pPr>
              <w:pStyle w:val="ApplytoFoMdescrip"/>
              <w:jc w:val="both"/>
              <w:rPr>
                <w:rFonts w:asciiTheme="minorHAnsi" w:hAnsiTheme="minorHAnsi"/>
                <w:sz w:val="22"/>
              </w:rPr>
            </w:pPr>
            <w:r w:rsidRPr="00D03BC5">
              <w:rPr>
                <w:rFonts w:asciiTheme="minorHAnsi" w:hAnsiTheme="minorHAnsi" w:cs="Arial"/>
                <w:sz w:val="22"/>
              </w:rPr>
              <w:lastRenderedPageBreak/>
              <w:t xml:space="preserve">The University of British Columbia is a global </w:t>
            </w:r>
            <w:proofErr w:type="spellStart"/>
            <w:r w:rsidRPr="00D03BC5">
              <w:rPr>
                <w:rFonts w:asciiTheme="minorHAnsi" w:hAnsiTheme="minorHAnsi" w:cs="Arial"/>
                <w:sz w:val="22"/>
              </w:rPr>
              <w:t>centre</w:t>
            </w:r>
            <w:proofErr w:type="spellEnd"/>
            <w:r w:rsidRPr="00D03BC5">
              <w:rPr>
                <w:rFonts w:asciiTheme="minorHAnsi" w:hAnsiTheme="minorHAnsi" w:cs="Arial"/>
                <w:sz w:val="22"/>
              </w:rPr>
              <w:t xml:space="preserve"> for research and teaching, consistently ranked among the top 20 public universities in the world and 3</w:t>
            </w:r>
            <w:r w:rsidRPr="00D03BC5">
              <w:rPr>
                <w:rFonts w:asciiTheme="minorHAnsi" w:hAnsiTheme="minorHAnsi" w:cs="Arial"/>
                <w:sz w:val="22"/>
                <w:vertAlign w:val="superscript"/>
              </w:rPr>
              <w:t>rd</w:t>
            </w:r>
            <w:r w:rsidRPr="00D03BC5">
              <w:rPr>
                <w:rFonts w:asciiTheme="minorHAnsi" w:hAnsiTheme="minorHAnsi" w:cs="Arial"/>
                <w:sz w:val="22"/>
              </w:rPr>
              <w:t xml:space="preserve"> largest university in Canada with an economic </w:t>
            </w:r>
            <w:bookmarkStart w:id="0" w:name="_GoBack"/>
            <w:bookmarkEnd w:id="0"/>
            <w:r w:rsidRPr="00D03BC5">
              <w:rPr>
                <w:rFonts w:asciiTheme="minorHAnsi" w:hAnsiTheme="minorHAnsi" w:cs="Arial"/>
                <w:sz w:val="22"/>
              </w:rPr>
              <w:t>impact of 12.5 billion to the provincial economy. Since 1915, UBC’s West Coast spirit has embraced innovation and challenged the status quo. Its entrepreneurial perspective encourages students, staff and faculty to challenge convention, lead discovery and explore new ways of learning. At UBC, bold thinking is given a place to develop into ideas that can change the world. As one of the world's leading universities, The University of British Columbia creates an exceptional learning environment that fosters global citizenship, advances a civil and sustainable society, and supports outstanding research to serve the people of British Columbia, Canada and the world.</w:t>
            </w:r>
          </w:p>
        </w:tc>
      </w:tr>
      <w:tr w:rsidR="00E57598" w:rsidRPr="00D03BC5" w:rsidTr="00762869">
        <w:trPr>
          <w:trHeight w:val="593"/>
        </w:trPr>
        <w:tc>
          <w:tcPr>
            <w:tcW w:w="11700" w:type="dxa"/>
            <w:tcBorders>
              <w:top w:val="single" w:sz="4" w:space="0" w:color="004685"/>
              <w:left w:val="single" w:sz="4" w:space="0" w:color="004685"/>
              <w:bottom w:val="single" w:sz="4" w:space="0" w:color="004685"/>
              <w:right w:val="single" w:sz="4" w:space="0" w:color="004685"/>
            </w:tcBorders>
            <w:noWrap/>
            <w:tcMar>
              <w:top w:w="0" w:type="dxa"/>
              <w:left w:w="0" w:type="dxa"/>
              <w:bottom w:w="0" w:type="dxa"/>
              <w:right w:w="0" w:type="dxa"/>
            </w:tcMar>
          </w:tcPr>
          <w:p w:rsidR="00E57598" w:rsidRPr="00D03BC5" w:rsidRDefault="00E57598" w:rsidP="00762869">
            <w:pPr>
              <w:pStyle w:val="StyleEquityImmigrationCentered"/>
              <w:jc w:val="both"/>
              <w:rPr>
                <w:rFonts w:asciiTheme="minorHAnsi" w:hAnsiTheme="minorHAnsi" w:cs="Arial"/>
                <w:color w:val="auto"/>
                <w:sz w:val="22"/>
                <w:szCs w:val="22"/>
              </w:rPr>
            </w:pPr>
          </w:p>
          <w:p w:rsidR="00E57598" w:rsidRDefault="00E57598" w:rsidP="00762869">
            <w:pPr>
              <w:pStyle w:val="StyleEquityImmigrationCentered"/>
              <w:ind w:left="288"/>
              <w:jc w:val="left"/>
              <w:rPr>
                <w:rFonts w:asciiTheme="minorHAnsi" w:hAnsiTheme="minorHAnsi" w:cs="Arial"/>
                <w:color w:val="auto"/>
                <w:sz w:val="22"/>
                <w:szCs w:val="22"/>
              </w:rPr>
            </w:pPr>
            <w:r w:rsidRPr="00A00B1A">
              <w:rPr>
                <w:rFonts w:asciiTheme="minorHAnsi" w:hAnsiTheme="minorHAnsi" w:cs="Arial"/>
                <w:color w:val="auto"/>
                <w:sz w:val="22"/>
                <w:szCs w:val="22"/>
              </w:rPr>
              <w:t xml:space="preserve">Equity and diversity are essential to academic excellence. An open and diverse community fosters the inclusion of voices that </w:t>
            </w:r>
            <w:r>
              <w:rPr>
                <w:rFonts w:asciiTheme="minorHAnsi" w:hAnsiTheme="minorHAnsi" w:cs="Arial"/>
                <w:color w:val="auto"/>
                <w:sz w:val="22"/>
                <w:szCs w:val="22"/>
              </w:rPr>
              <w:t xml:space="preserve">   </w:t>
            </w:r>
            <w:r w:rsidRPr="00A00B1A">
              <w:rPr>
                <w:rFonts w:asciiTheme="minorHAnsi" w:hAnsiTheme="minorHAnsi" w:cs="Arial"/>
                <w:color w:val="auto"/>
                <w:sz w:val="22"/>
                <w:szCs w:val="22"/>
              </w:rPr>
              <w:t xml:space="preserve">have been underrepresented or discouraged. We encourage applications from members of groups that have been marginalized </w:t>
            </w:r>
          </w:p>
          <w:p w:rsidR="00E57598" w:rsidRDefault="00E57598" w:rsidP="00762869">
            <w:pPr>
              <w:pStyle w:val="StyleEquityImmigrationCentered"/>
              <w:ind w:left="288"/>
              <w:jc w:val="left"/>
              <w:rPr>
                <w:rFonts w:asciiTheme="minorHAnsi" w:hAnsiTheme="minorHAnsi" w:cs="Arial"/>
                <w:color w:val="auto"/>
                <w:sz w:val="22"/>
                <w:szCs w:val="22"/>
              </w:rPr>
            </w:pPr>
            <w:r w:rsidRPr="00A00B1A">
              <w:rPr>
                <w:rFonts w:asciiTheme="minorHAnsi" w:hAnsiTheme="minorHAnsi" w:cs="Arial"/>
                <w:color w:val="auto"/>
                <w:sz w:val="22"/>
                <w:szCs w:val="22"/>
              </w:rPr>
              <w:t xml:space="preserve">on any grounds enumerated under the B.C. Human Rights Code, including sex, sexual orientation, gender identity or expression, </w:t>
            </w:r>
          </w:p>
          <w:p w:rsidR="00E57598" w:rsidRDefault="00E57598" w:rsidP="00762869">
            <w:pPr>
              <w:pStyle w:val="StyleEquityImmigrationCentered"/>
              <w:ind w:left="288"/>
              <w:jc w:val="left"/>
              <w:rPr>
                <w:rFonts w:asciiTheme="minorHAnsi" w:hAnsiTheme="minorHAnsi" w:cs="Arial"/>
                <w:color w:val="auto"/>
                <w:sz w:val="22"/>
                <w:szCs w:val="22"/>
              </w:rPr>
            </w:pPr>
            <w:r w:rsidRPr="00A00B1A">
              <w:rPr>
                <w:rFonts w:asciiTheme="minorHAnsi" w:hAnsiTheme="minorHAnsi" w:cs="Arial"/>
                <w:color w:val="auto"/>
                <w:sz w:val="22"/>
                <w:szCs w:val="22"/>
              </w:rPr>
              <w:t xml:space="preserve">racialization, disability, political belief, religion, marital or family status, age, and/or status as a First Nation, Metis, Inuit, or </w:t>
            </w:r>
          </w:p>
          <w:p w:rsidR="00E57598" w:rsidRPr="00D03BC5" w:rsidRDefault="00E57598" w:rsidP="00762869">
            <w:pPr>
              <w:pStyle w:val="StyleEquityImmigrationCentered"/>
              <w:ind w:left="288"/>
              <w:jc w:val="left"/>
              <w:rPr>
                <w:rFonts w:asciiTheme="minorHAnsi" w:hAnsiTheme="minorHAnsi" w:cs="Arial"/>
                <w:color w:val="auto"/>
                <w:sz w:val="22"/>
                <w:szCs w:val="22"/>
              </w:rPr>
            </w:pPr>
            <w:r w:rsidRPr="00A00B1A">
              <w:rPr>
                <w:rFonts w:asciiTheme="minorHAnsi" w:hAnsiTheme="minorHAnsi" w:cs="Arial"/>
                <w:color w:val="auto"/>
                <w:sz w:val="22"/>
                <w:szCs w:val="22"/>
              </w:rPr>
              <w:t>Ind</w:t>
            </w:r>
            <w:r>
              <w:rPr>
                <w:rFonts w:asciiTheme="minorHAnsi" w:hAnsiTheme="minorHAnsi" w:cs="Arial"/>
                <w:color w:val="auto"/>
                <w:sz w:val="22"/>
                <w:szCs w:val="22"/>
              </w:rPr>
              <w:t>igenous person.</w:t>
            </w:r>
            <w:r>
              <w:t xml:space="preserve"> </w:t>
            </w:r>
            <w:r w:rsidRPr="00A00B1A">
              <w:rPr>
                <w:rFonts w:asciiTheme="minorHAnsi" w:hAnsiTheme="minorHAnsi" w:cs="Arial"/>
                <w:color w:val="auto"/>
                <w:sz w:val="22"/>
                <w:szCs w:val="22"/>
              </w:rPr>
              <w:t>All qualified candidates are encouraged to apply; however Canadians and permanent res</w:t>
            </w:r>
            <w:r>
              <w:rPr>
                <w:rFonts w:asciiTheme="minorHAnsi" w:hAnsiTheme="minorHAnsi" w:cs="Arial"/>
                <w:color w:val="auto"/>
                <w:sz w:val="22"/>
                <w:szCs w:val="22"/>
              </w:rPr>
              <w:t>idents will be given priority.</w:t>
            </w:r>
          </w:p>
        </w:tc>
      </w:tr>
      <w:tr w:rsidR="00E57598" w:rsidRPr="00D03BC5" w:rsidTr="00762869">
        <w:trPr>
          <w:trHeight w:val="242"/>
        </w:trPr>
        <w:tc>
          <w:tcPr>
            <w:tcW w:w="11700" w:type="dxa"/>
            <w:tcBorders>
              <w:top w:val="single" w:sz="4" w:space="0" w:color="004685"/>
              <w:left w:val="single" w:sz="4" w:space="0" w:color="004685"/>
              <w:bottom w:val="single" w:sz="4" w:space="0" w:color="004685"/>
              <w:right w:val="single" w:sz="4" w:space="0" w:color="004685"/>
            </w:tcBorders>
            <w:shd w:val="clear" w:color="auto" w:fill="1F497D"/>
            <w:noWrap/>
            <w:tcMar>
              <w:top w:w="72" w:type="dxa"/>
              <w:left w:w="288" w:type="dxa"/>
              <w:bottom w:w="72" w:type="dxa"/>
              <w:right w:w="288" w:type="dxa"/>
            </w:tcMar>
            <w:vAlign w:val="center"/>
          </w:tcPr>
          <w:p w:rsidR="00E57598" w:rsidRDefault="00E57598" w:rsidP="00565E7A">
            <w:pPr>
              <w:pStyle w:val="ubcmedweb"/>
              <w:jc w:val="left"/>
              <w:rPr>
                <w:rFonts w:asciiTheme="minorHAnsi" w:hAnsiTheme="minorHAnsi"/>
                <w:sz w:val="22"/>
                <w:szCs w:val="22"/>
              </w:rPr>
            </w:pPr>
            <w:r w:rsidRPr="000279D7">
              <w:rPr>
                <w:rFonts w:asciiTheme="minorHAnsi" w:hAnsiTheme="minorHAnsi"/>
                <w:color w:val="FFFFFF" w:themeColor="background1"/>
                <w:sz w:val="22"/>
                <w:szCs w:val="22"/>
              </w:rPr>
              <w:t xml:space="preserve">  </w:t>
            </w:r>
            <w:r w:rsidRPr="000279D7">
              <w:rPr>
                <w:rFonts w:asciiTheme="minorHAnsi" w:hAnsiTheme="minorHAnsi"/>
                <w:sz w:val="22"/>
                <w:szCs w:val="22"/>
              </w:rPr>
              <w:t xml:space="preserve"> </w:t>
            </w:r>
            <w:r w:rsidRPr="00B86000">
              <w:rPr>
                <w:rFonts w:asciiTheme="minorHAnsi" w:hAnsiTheme="minorHAnsi"/>
                <w:sz w:val="22"/>
                <w:szCs w:val="22"/>
                <w:u w:val="single"/>
              </w:rPr>
              <w:t>http://biochem.ubc.ca/</w:t>
            </w:r>
            <w:r>
              <w:rPr>
                <w:rFonts w:asciiTheme="minorHAnsi" w:hAnsiTheme="minorHAnsi"/>
                <w:sz w:val="22"/>
                <w:szCs w:val="22"/>
              </w:rPr>
              <w:t xml:space="preserve">  </w:t>
            </w:r>
          </w:p>
          <w:p w:rsidR="0076176C" w:rsidRPr="000279D7" w:rsidRDefault="0076176C" w:rsidP="00565E7A">
            <w:pPr>
              <w:pStyle w:val="ubcmedweb"/>
              <w:jc w:val="left"/>
              <w:rPr>
                <w:rFonts w:asciiTheme="minorHAnsi" w:hAnsiTheme="minorHAnsi"/>
                <w:sz w:val="22"/>
                <w:szCs w:val="22"/>
              </w:rPr>
            </w:pPr>
            <w:r w:rsidRPr="0076176C">
              <w:rPr>
                <w:rFonts w:asciiTheme="minorHAnsi" w:hAnsiTheme="minorHAnsi"/>
                <w:color w:val="FFFFFF" w:themeColor="background1"/>
                <w:sz w:val="22"/>
                <w:szCs w:val="22"/>
              </w:rPr>
              <w:t xml:space="preserve">   </w:t>
            </w:r>
            <w:hyperlink r:id="rId6" w:history="1">
              <w:r w:rsidRPr="0076176C">
                <w:rPr>
                  <w:rStyle w:val="Hyperlink"/>
                  <w:rFonts w:asciiTheme="minorHAnsi" w:hAnsiTheme="minorHAnsi"/>
                  <w:color w:val="FFFFFF" w:themeColor="background1"/>
                  <w:sz w:val="22"/>
                  <w:szCs w:val="22"/>
                </w:rPr>
                <w:t>http://bcchr.ca/</w:t>
              </w:r>
            </w:hyperlink>
            <w:r w:rsidRPr="0076176C">
              <w:rPr>
                <w:rFonts w:asciiTheme="minorHAnsi" w:hAnsiTheme="minorHAnsi"/>
                <w:color w:val="FFFFFF" w:themeColor="background1"/>
                <w:sz w:val="22"/>
                <w:szCs w:val="22"/>
              </w:rPr>
              <w:t xml:space="preserve"> </w:t>
            </w:r>
          </w:p>
        </w:tc>
      </w:tr>
    </w:tbl>
    <w:p w:rsidR="00E57598" w:rsidRDefault="00E57598" w:rsidP="00E57598"/>
    <w:p w:rsidR="00E57598" w:rsidRDefault="00E57598" w:rsidP="00E57598"/>
    <w:p w:rsidR="00E57598" w:rsidRDefault="00E57598" w:rsidP="00E57598"/>
    <w:p w:rsidR="00E57598" w:rsidRDefault="00E57598" w:rsidP="00E57598"/>
    <w:p w:rsidR="00E57598" w:rsidRDefault="00E57598" w:rsidP="00E57598"/>
    <w:p w:rsidR="00762869" w:rsidRDefault="00762869"/>
    <w:sectPr w:rsidR="00762869" w:rsidSect="00762869">
      <w:pgSz w:w="12240" w:h="15840"/>
      <w:pgMar w:top="1008" w:right="720" w:bottom="1008"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4518C" w16cid:durableId="1E91ADD8"/>
  <w16cid:commentId w16cid:paraId="573AA260" w16cid:durableId="1E91B3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98"/>
    <w:rsid w:val="00021226"/>
    <w:rsid w:val="000250A3"/>
    <w:rsid w:val="00036D38"/>
    <w:rsid w:val="00042F6A"/>
    <w:rsid w:val="000720A7"/>
    <w:rsid w:val="0008260B"/>
    <w:rsid w:val="00093C29"/>
    <w:rsid w:val="000E0B52"/>
    <w:rsid w:val="000F4789"/>
    <w:rsid w:val="000F5CFE"/>
    <w:rsid w:val="000F66D3"/>
    <w:rsid w:val="00113F7F"/>
    <w:rsid w:val="001161BD"/>
    <w:rsid w:val="00132848"/>
    <w:rsid w:val="00177B45"/>
    <w:rsid w:val="001A0E39"/>
    <w:rsid w:val="001A476D"/>
    <w:rsid w:val="001A498F"/>
    <w:rsid w:val="001A7FF3"/>
    <w:rsid w:val="001B20D9"/>
    <w:rsid w:val="001C400B"/>
    <w:rsid w:val="002004CD"/>
    <w:rsid w:val="002006B5"/>
    <w:rsid w:val="00206202"/>
    <w:rsid w:val="00215503"/>
    <w:rsid w:val="00227A8B"/>
    <w:rsid w:val="00237103"/>
    <w:rsid w:val="00240CAC"/>
    <w:rsid w:val="002841B3"/>
    <w:rsid w:val="002B216F"/>
    <w:rsid w:val="002C2E14"/>
    <w:rsid w:val="002C4363"/>
    <w:rsid w:val="002D20B8"/>
    <w:rsid w:val="002E26A3"/>
    <w:rsid w:val="002E64FC"/>
    <w:rsid w:val="003130FF"/>
    <w:rsid w:val="00346254"/>
    <w:rsid w:val="003608D3"/>
    <w:rsid w:val="003672CB"/>
    <w:rsid w:val="00373710"/>
    <w:rsid w:val="00382113"/>
    <w:rsid w:val="003B46D7"/>
    <w:rsid w:val="003B4E45"/>
    <w:rsid w:val="003C565E"/>
    <w:rsid w:val="00454CC4"/>
    <w:rsid w:val="00460876"/>
    <w:rsid w:val="00463C2D"/>
    <w:rsid w:val="00477784"/>
    <w:rsid w:val="00482DCE"/>
    <w:rsid w:val="004B6CBC"/>
    <w:rsid w:val="004B7943"/>
    <w:rsid w:val="004F5B48"/>
    <w:rsid w:val="00500FCC"/>
    <w:rsid w:val="00501634"/>
    <w:rsid w:val="005075B4"/>
    <w:rsid w:val="005149F2"/>
    <w:rsid w:val="00565E7A"/>
    <w:rsid w:val="00590C64"/>
    <w:rsid w:val="00595886"/>
    <w:rsid w:val="00596A75"/>
    <w:rsid w:val="005B78FA"/>
    <w:rsid w:val="005C647B"/>
    <w:rsid w:val="005F6B95"/>
    <w:rsid w:val="00601C35"/>
    <w:rsid w:val="00643C28"/>
    <w:rsid w:val="00651B7C"/>
    <w:rsid w:val="006E5498"/>
    <w:rsid w:val="0071158B"/>
    <w:rsid w:val="00723B98"/>
    <w:rsid w:val="00724C55"/>
    <w:rsid w:val="0076176C"/>
    <w:rsid w:val="00762869"/>
    <w:rsid w:val="00765268"/>
    <w:rsid w:val="00786B7D"/>
    <w:rsid w:val="00790B92"/>
    <w:rsid w:val="007A187C"/>
    <w:rsid w:val="007B415F"/>
    <w:rsid w:val="007E0069"/>
    <w:rsid w:val="008016E1"/>
    <w:rsid w:val="00836BAB"/>
    <w:rsid w:val="008473C1"/>
    <w:rsid w:val="00886AAE"/>
    <w:rsid w:val="008E503C"/>
    <w:rsid w:val="00977B29"/>
    <w:rsid w:val="009A2938"/>
    <w:rsid w:val="009A41E2"/>
    <w:rsid w:val="009A5F88"/>
    <w:rsid w:val="009D7867"/>
    <w:rsid w:val="00A13C9C"/>
    <w:rsid w:val="00A315D5"/>
    <w:rsid w:val="00A749BB"/>
    <w:rsid w:val="00A854E1"/>
    <w:rsid w:val="00AB0598"/>
    <w:rsid w:val="00AC15AB"/>
    <w:rsid w:val="00AC615A"/>
    <w:rsid w:val="00AD2FB9"/>
    <w:rsid w:val="00B01EE3"/>
    <w:rsid w:val="00B117F4"/>
    <w:rsid w:val="00B333B6"/>
    <w:rsid w:val="00B60DB2"/>
    <w:rsid w:val="00B75E63"/>
    <w:rsid w:val="00B81641"/>
    <w:rsid w:val="00B87096"/>
    <w:rsid w:val="00BB5ACA"/>
    <w:rsid w:val="00BD3579"/>
    <w:rsid w:val="00BD6D99"/>
    <w:rsid w:val="00C50D2D"/>
    <w:rsid w:val="00C54D63"/>
    <w:rsid w:val="00CD482B"/>
    <w:rsid w:val="00CF6135"/>
    <w:rsid w:val="00D01763"/>
    <w:rsid w:val="00D10F8F"/>
    <w:rsid w:val="00D463DB"/>
    <w:rsid w:val="00D70B10"/>
    <w:rsid w:val="00D80C76"/>
    <w:rsid w:val="00D97195"/>
    <w:rsid w:val="00DE24C6"/>
    <w:rsid w:val="00DF65C1"/>
    <w:rsid w:val="00DF6753"/>
    <w:rsid w:val="00E50D8C"/>
    <w:rsid w:val="00E57598"/>
    <w:rsid w:val="00E928C3"/>
    <w:rsid w:val="00EA0CFB"/>
    <w:rsid w:val="00EC11F4"/>
    <w:rsid w:val="00F00D5D"/>
    <w:rsid w:val="00F229FF"/>
    <w:rsid w:val="00F22B7C"/>
    <w:rsid w:val="00F41E42"/>
    <w:rsid w:val="00F46A9E"/>
    <w:rsid w:val="00F5703C"/>
    <w:rsid w:val="00F65B32"/>
    <w:rsid w:val="00F7171F"/>
    <w:rsid w:val="00F868A0"/>
    <w:rsid w:val="00FB3287"/>
    <w:rsid w:val="00FC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CBDB53-30C8-4DEF-87BB-F09E0B3B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ytoFoMdescripChar">
    <w:name w:val="Apply to &amp; FoM descrip Char"/>
    <w:link w:val="ApplytoFoMdescrip"/>
    <w:locked/>
    <w:rsid w:val="00E57598"/>
    <w:rPr>
      <w:rFonts w:ascii="Tahoma" w:hAnsi="Tahoma" w:cs="Tahoma"/>
      <w:sz w:val="18"/>
    </w:rPr>
  </w:style>
  <w:style w:type="paragraph" w:customStyle="1" w:styleId="ApplytoFoMdescrip">
    <w:name w:val="Apply to &amp; FoM descrip"/>
    <w:basedOn w:val="Normal"/>
    <w:link w:val="ApplytoFoMdescripChar"/>
    <w:rsid w:val="00E57598"/>
    <w:pPr>
      <w:spacing w:after="120" w:line="280" w:lineRule="exact"/>
    </w:pPr>
    <w:rPr>
      <w:rFonts w:ascii="Tahoma" w:eastAsiaTheme="minorHAnsi" w:hAnsi="Tahoma" w:cs="Tahoma"/>
      <w:sz w:val="18"/>
      <w:szCs w:val="22"/>
    </w:rPr>
  </w:style>
  <w:style w:type="character" w:customStyle="1" w:styleId="ubcmedwebChar">
    <w:name w:val="ubc &amp; med web Char"/>
    <w:link w:val="ubcmedweb"/>
    <w:locked/>
    <w:rsid w:val="00E57598"/>
    <w:rPr>
      <w:rFonts w:ascii="Calibri" w:hAnsi="Calibri"/>
      <w:color w:val="FFFFFF"/>
      <w:sz w:val="32"/>
      <w:szCs w:val="28"/>
    </w:rPr>
  </w:style>
  <w:style w:type="paragraph" w:customStyle="1" w:styleId="ubcmedweb">
    <w:name w:val="ubc &amp; med web"/>
    <w:basedOn w:val="Normal"/>
    <w:link w:val="ubcmedwebChar"/>
    <w:rsid w:val="00E57598"/>
    <w:pPr>
      <w:spacing w:line="280" w:lineRule="atLeast"/>
      <w:jc w:val="center"/>
    </w:pPr>
    <w:rPr>
      <w:rFonts w:ascii="Calibri" w:eastAsiaTheme="minorHAnsi" w:hAnsi="Calibri" w:cstheme="minorBidi"/>
      <w:color w:val="FFFFFF"/>
      <w:sz w:val="32"/>
      <w:szCs w:val="28"/>
    </w:rPr>
  </w:style>
  <w:style w:type="paragraph" w:customStyle="1" w:styleId="Vision">
    <w:name w:val="Vision"/>
    <w:basedOn w:val="BodyText"/>
    <w:rsid w:val="00E57598"/>
    <w:rPr>
      <w:rFonts w:ascii="Georgia" w:hAnsi="Georgia"/>
      <w:i/>
      <w:color w:val="004685"/>
      <w:spacing w:val="24"/>
      <w:sz w:val="22"/>
      <w:szCs w:val="22"/>
    </w:rPr>
  </w:style>
  <w:style w:type="paragraph" w:customStyle="1" w:styleId="StyleEquityImmigrationCentered">
    <w:name w:val="Style Equity &amp; Immigration + Centered"/>
    <w:basedOn w:val="Normal"/>
    <w:rsid w:val="00E57598"/>
    <w:pPr>
      <w:jc w:val="center"/>
    </w:pPr>
    <w:rPr>
      <w:rFonts w:ascii="Calibri" w:hAnsi="Calibri"/>
      <w:i/>
      <w:iCs/>
      <w:color w:val="333333"/>
      <w:sz w:val="18"/>
    </w:rPr>
  </w:style>
  <w:style w:type="character" w:customStyle="1" w:styleId="Subtitlereversed">
    <w:name w:val="Subtitle reversed"/>
    <w:rsid w:val="00E57598"/>
    <w:rPr>
      <w:rFonts w:ascii="Calibri" w:hAnsi="Calibri" w:hint="default"/>
      <w:bCs/>
      <w:color w:val="FFFFFF"/>
      <w:sz w:val="24"/>
    </w:rPr>
  </w:style>
  <w:style w:type="paragraph" w:styleId="BodyText">
    <w:name w:val="Body Text"/>
    <w:basedOn w:val="Normal"/>
    <w:link w:val="BodyTextChar"/>
    <w:uiPriority w:val="99"/>
    <w:unhideWhenUsed/>
    <w:rsid w:val="00E57598"/>
    <w:pPr>
      <w:spacing w:after="120"/>
    </w:pPr>
  </w:style>
  <w:style w:type="character" w:customStyle="1" w:styleId="BodyTextChar">
    <w:name w:val="Body Text Char"/>
    <w:basedOn w:val="DefaultParagraphFont"/>
    <w:link w:val="BodyText"/>
    <w:uiPriority w:val="99"/>
    <w:rsid w:val="00E57598"/>
    <w:rPr>
      <w:rFonts w:ascii="Times New Roman" w:eastAsia="Times New Roman" w:hAnsi="Times New Roman" w:cs="Times New Roman"/>
      <w:sz w:val="24"/>
      <w:szCs w:val="20"/>
    </w:rPr>
  </w:style>
  <w:style w:type="paragraph" w:customStyle="1" w:styleId="Default">
    <w:name w:val="Default"/>
    <w:rsid w:val="00E57598"/>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unhideWhenUsed/>
    <w:rsid w:val="00E57598"/>
    <w:rPr>
      <w:color w:val="0000FF"/>
      <w:u w:val="single"/>
    </w:rPr>
  </w:style>
  <w:style w:type="character" w:styleId="FollowedHyperlink">
    <w:name w:val="FollowedHyperlink"/>
    <w:basedOn w:val="DefaultParagraphFont"/>
    <w:uiPriority w:val="99"/>
    <w:semiHidden/>
    <w:unhideWhenUsed/>
    <w:rsid w:val="00565E7A"/>
    <w:rPr>
      <w:color w:val="954F72" w:themeColor="followedHyperlink"/>
      <w:u w:val="single"/>
    </w:rPr>
  </w:style>
  <w:style w:type="character" w:styleId="CommentReference">
    <w:name w:val="annotation reference"/>
    <w:basedOn w:val="DefaultParagraphFont"/>
    <w:uiPriority w:val="99"/>
    <w:semiHidden/>
    <w:unhideWhenUsed/>
    <w:rsid w:val="00BD6D99"/>
    <w:rPr>
      <w:sz w:val="16"/>
      <w:szCs w:val="16"/>
    </w:rPr>
  </w:style>
  <w:style w:type="paragraph" w:styleId="CommentText">
    <w:name w:val="annotation text"/>
    <w:basedOn w:val="Normal"/>
    <w:link w:val="CommentTextChar"/>
    <w:uiPriority w:val="99"/>
    <w:semiHidden/>
    <w:unhideWhenUsed/>
    <w:rsid w:val="00BD6D99"/>
    <w:rPr>
      <w:sz w:val="20"/>
    </w:rPr>
  </w:style>
  <w:style w:type="character" w:customStyle="1" w:styleId="CommentTextChar">
    <w:name w:val="Comment Text Char"/>
    <w:basedOn w:val="DefaultParagraphFont"/>
    <w:link w:val="CommentText"/>
    <w:uiPriority w:val="99"/>
    <w:semiHidden/>
    <w:rsid w:val="00BD6D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D99"/>
    <w:rPr>
      <w:b/>
      <w:bCs/>
    </w:rPr>
  </w:style>
  <w:style w:type="character" w:customStyle="1" w:styleId="CommentSubjectChar">
    <w:name w:val="Comment Subject Char"/>
    <w:basedOn w:val="CommentTextChar"/>
    <w:link w:val="CommentSubject"/>
    <w:uiPriority w:val="99"/>
    <w:semiHidden/>
    <w:rsid w:val="00BD6D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6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99"/>
    <w:rPr>
      <w:rFonts w:ascii="Segoe UI" w:eastAsia="Times New Roman" w:hAnsi="Segoe UI" w:cs="Segoe UI"/>
      <w:sz w:val="18"/>
      <w:szCs w:val="18"/>
    </w:rPr>
  </w:style>
  <w:style w:type="paragraph" w:styleId="Revision">
    <w:name w:val="Revision"/>
    <w:hidden/>
    <w:uiPriority w:val="99"/>
    <w:semiHidden/>
    <w:rsid w:val="00177B45"/>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C54D63"/>
    <w:pPr>
      <w:spacing w:before="100" w:beforeAutospacing="1" w:after="100" w:afterAutospacing="1"/>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564441">
      <w:bodyDiv w:val="1"/>
      <w:marLeft w:val="0"/>
      <w:marRight w:val="0"/>
      <w:marTop w:val="0"/>
      <w:marBottom w:val="0"/>
      <w:divBdr>
        <w:top w:val="none" w:sz="0" w:space="0" w:color="auto"/>
        <w:left w:val="none" w:sz="0" w:space="0" w:color="auto"/>
        <w:bottom w:val="none" w:sz="0" w:space="0" w:color="auto"/>
        <w:right w:val="none" w:sz="0" w:space="0" w:color="auto"/>
      </w:divBdr>
      <w:divsChild>
        <w:div w:id="1653439479">
          <w:marLeft w:val="0"/>
          <w:marRight w:val="0"/>
          <w:marTop w:val="0"/>
          <w:marBottom w:val="0"/>
          <w:divBdr>
            <w:top w:val="none" w:sz="0" w:space="0" w:color="auto"/>
            <w:left w:val="none" w:sz="0" w:space="0" w:color="auto"/>
            <w:bottom w:val="none" w:sz="0" w:space="0" w:color="auto"/>
            <w:right w:val="none" w:sz="0" w:space="0" w:color="auto"/>
          </w:divBdr>
          <w:divsChild>
            <w:div w:id="488251070">
              <w:marLeft w:val="0"/>
              <w:marRight w:val="0"/>
              <w:marTop w:val="0"/>
              <w:marBottom w:val="0"/>
              <w:divBdr>
                <w:top w:val="none" w:sz="0" w:space="0" w:color="auto"/>
                <w:left w:val="none" w:sz="0" w:space="0" w:color="auto"/>
                <w:bottom w:val="none" w:sz="0" w:space="0" w:color="auto"/>
                <w:right w:val="none" w:sz="0" w:space="0" w:color="auto"/>
              </w:divBdr>
              <w:divsChild>
                <w:div w:id="1116751317">
                  <w:marLeft w:val="0"/>
                  <w:marRight w:val="0"/>
                  <w:marTop w:val="0"/>
                  <w:marBottom w:val="0"/>
                  <w:divBdr>
                    <w:top w:val="none" w:sz="0" w:space="0" w:color="auto"/>
                    <w:left w:val="none" w:sz="0" w:space="0" w:color="auto"/>
                    <w:bottom w:val="none" w:sz="0" w:space="0" w:color="auto"/>
                    <w:right w:val="none" w:sz="0" w:space="0" w:color="auto"/>
                  </w:divBdr>
                  <w:divsChild>
                    <w:div w:id="2443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chr.ca/" TargetMode="External"/><Relationship Id="rId5" Type="http://schemas.openxmlformats.org/officeDocument/2006/relationships/hyperlink" Target="mailto:bioc.sec@ub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Amanda</dc:creator>
  <cp:keywords/>
  <dc:description/>
  <cp:lastModifiedBy>Sharon Yau</cp:lastModifiedBy>
  <cp:revision>4</cp:revision>
  <cp:lastPrinted>2018-06-21T20:37:00Z</cp:lastPrinted>
  <dcterms:created xsi:type="dcterms:W3CDTF">2019-01-08T18:00:00Z</dcterms:created>
  <dcterms:modified xsi:type="dcterms:W3CDTF">2019-01-08T19:54:00Z</dcterms:modified>
</cp:coreProperties>
</file>